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rPr>
        <w:t>云南体育运动职业技术学院</w:t>
      </w:r>
      <w:r>
        <w:rPr>
          <w:rFonts w:hint="eastAsia" w:ascii="宋体" w:hAnsi="宋体" w:eastAsia="宋体" w:cs="宋体"/>
          <w:b/>
          <w:bCs/>
          <w:sz w:val="32"/>
          <w:szCs w:val="32"/>
          <w:lang w:val="en-US" w:eastAsia="zh-CN"/>
        </w:rPr>
        <w:t>2020年适应社会需求能力评估自评报告</w:t>
      </w:r>
    </w:p>
    <w:p>
      <w:pPr>
        <w:pStyle w:val="2"/>
        <w:keepNext/>
        <w:keepLines/>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sz w:val="28"/>
          <w:szCs w:val="28"/>
          <w:lang w:val="en-US" w:eastAsia="zh-CN"/>
        </w:rPr>
      </w:pPr>
      <w:r>
        <w:rPr>
          <w:rFonts w:hint="eastAsia"/>
          <w:b/>
          <w:sz w:val="28"/>
          <w:szCs w:val="28"/>
          <w:lang w:val="en-US" w:eastAsia="zh-CN"/>
        </w:rPr>
        <w:t>前言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云南体育运动职业技术学院于2004年5月26日经云南省人民政府批准（云政复〔</w:t>
      </w:r>
      <w:r>
        <w:rPr>
          <w:rFonts w:hint="eastAsia" w:ascii="宋体" w:hAnsi="宋体" w:eastAsia="宋体" w:cs="宋体"/>
          <w:sz w:val="24"/>
          <w:szCs w:val="24"/>
          <w:lang w:val="en-US" w:eastAsia="zh-CN"/>
        </w:rPr>
        <w:t>2004</w:t>
      </w:r>
      <w:r>
        <w:rPr>
          <w:rFonts w:hint="eastAsia" w:ascii="宋体" w:hAnsi="宋体" w:eastAsia="宋体" w:cs="宋体"/>
          <w:sz w:val="24"/>
          <w:szCs w:val="24"/>
        </w:rPr>
        <w:t>〕58号），国家教育部备案，是由原云南省体育运动学校升格而成的全日制公办普通高等职业</w:t>
      </w:r>
      <w:r>
        <w:rPr>
          <w:rFonts w:hint="eastAsia" w:ascii="宋体" w:hAnsi="宋体" w:eastAsia="宋体" w:cs="宋体"/>
          <w:sz w:val="24"/>
          <w:szCs w:val="24"/>
          <w:lang w:val="en-US" w:eastAsia="zh-CN"/>
        </w:rPr>
        <w:t>院校</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学校地处昆明海埂、滇池之滨国家旅游度假区，与云南民族村、昆明海埂体育训练基地、滇池湖畔高尔夫球场相邻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学校</w:t>
      </w:r>
      <w:r>
        <w:rPr>
          <w:rFonts w:hint="eastAsia" w:ascii="宋体" w:hAnsi="宋体" w:eastAsia="宋体" w:cs="宋体"/>
          <w:sz w:val="24"/>
          <w:szCs w:val="24"/>
          <w:highlight w:val="none"/>
        </w:rPr>
        <w:t>占地面积133332平方米，校舍总建筑面积110377.9平方米，固定资产13888.63万元，教学科研仪器设备值</w:t>
      </w:r>
      <w:r>
        <w:rPr>
          <w:rFonts w:hint="eastAsia" w:ascii="宋体" w:hAnsi="宋体" w:eastAsia="宋体" w:cs="宋体"/>
          <w:sz w:val="24"/>
          <w:szCs w:val="24"/>
          <w:lang w:val="en-US" w:eastAsia="zh-CN"/>
        </w:rPr>
        <w:t>2889.85</w:t>
      </w:r>
      <w:r>
        <w:rPr>
          <w:rFonts w:hint="eastAsia" w:ascii="宋体" w:hAnsi="宋体" w:eastAsia="宋体" w:cs="宋体"/>
          <w:sz w:val="24"/>
          <w:szCs w:val="24"/>
          <w:highlight w:val="none"/>
        </w:rPr>
        <w:t>万元。</w:t>
      </w:r>
      <w:r>
        <w:rPr>
          <w:rFonts w:hint="eastAsia" w:ascii="宋体" w:hAnsi="宋体" w:eastAsia="宋体" w:cs="宋体"/>
          <w:sz w:val="24"/>
          <w:szCs w:val="24"/>
        </w:rPr>
        <w:t>拥有面积达一万多平方米的综合训练馆一座，标准训练馆一个，田径运动场一个，足球场两块，室外篮球场、排球场各七块，多功能教学楼3</w:t>
      </w:r>
      <w:r>
        <w:rPr>
          <w:rFonts w:hint="eastAsia" w:ascii="宋体" w:hAnsi="宋体" w:eastAsia="宋体" w:cs="宋体"/>
          <w:sz w:val="24"/>
          <w:szCs w:val="24"/>
          <w:highlight w:val="none"/>
        </w:rPr>
        <w:t>栋、图书馆、电子阅览室、多媒体室、专业示教室等设施。建有校内实践基地</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6个，校外实习实训基地</w:t>
      </w:r>
      <w:r>
        <w:rPr>
          <w:rFonts w:hint="eastAsia" w:ascii="宋体" w:hAnsi="宋体" w:eastAsia="宋体" w:cs="宋体"/>
          <w:sz w:val="24"/>
          <w:szCs w:val="24"/>
          <w:highlight w:val="none"/>
          <w:lang w:val="en-US" w:eastAsia="zh-CN"/>
        </w:rPr>
        <w:t>46</w:t>
      </w:r>
      <w:r>
        <w:rPr>
          <w:rFonts w:hint="eastAsia" w:ascii="宋体" w:hAnsi="宋体" w:eastAsia="宋体" w:cs="宋体"/>
          <w:sz w:val="24"/>
          <w:szCs w:val="24"/>
          <w:highlight w:val="none"/>
        </w:rPr>
        <w:t>个。</w:t>
      </w:r>
      <w:r>
        <w:rPr>
          <w:rFonts w:hint="eastAsia" w:ascii="宋体" w:hAnsi="宋体" w:eastAsia="宋体" w:cs="宋体"/>
          <w:sz w:val="24"/>
          <w:szCs w:val="24"/>
        </w:rPr>
        <w:t>建有1024Mbps主干校园网，</w:t>
      </w:r>
      <w:r>
        <w:rPr>
          <w:rFonts w:hint="eastAsia" w:ascii="宋体" w:hAnsi="宋体" w:eastAsia="宋体" w:cs="宋体"/>
          <w:b w:val="0"/>
          <w:bCs w:val="0"/>
          <w:sz w:val="24"/>
          <w:szCs w:val="24"/>
          <w:lang w:val="en-US" w:eastAsia="zh-CN"/>
        </w:rPr>
        <w:t>接入互联网出口带宽2000Mbps，网络信息点500个</w:t>
      </w:r>
      <w:r>
        <w:rPr>
          <w:rFonts w:hint="eastAsia" w:ascii="宋体" w:hAnsi="宋体" w:eastAsia="宋体" w:cs="宋体"/>
          <w:sz w:val="24"/>
          <w:szCs w:val="24"/>
        </w:rPr>
        <w:t>。</w:t>
      </w:r>
      <w:r>
        <w:rPr>
          <w:rFonts w:hint="eastAsia" w:ascii="宋体" w:hAnsi="宋体" w:eastAsia="宋体" w:cs="宋体"/>
          <w:sz w:val="24"/>
          <w:szCs w:val="24"/>
          <w:highlight w:val="none"/>
        </w:rPr>
        <w:t>图书馆藏书17.39万册</w:t>
      </w:r>
      <w:r>
        <w:rPr>
          <w:rFonts w:hint="eastAsia" w:ascii="宋体" w:hAnsi="宋体" w:eastAsia="宋体" w:cs="宋体"/>
          <w:sz w:val="24"/>
          <w:szCs w:val="24"/>
        </w:rPr>
        <w:t>。现有全日制在校生</w:t>
      </w:r>
      <w:r>
        <w:rPr>
          <w:rFonts w:hint="eastAsia" w:ascii="宋体" w:hAnsi="宋体" w:eastAsia="宋体" w:cs="宋体"/>
          <w:sz w:val="24"/>
          <w:szCs w:val="24"/>
          <w:highlight w:val="none"/>
          <w:lang w:val="en-US" w:eastAsia="zh-CN"/>
        </w:rPr>
        <w:t>4570</w:t>
      </w:r>
      <w:r>
        <w:rPr>
          <w:rFonts w:hint="eastAsia" w:ascii="宋体" w:hAnsi="宋体" w:eastAsia="宋体" w:cs="宋体"/>
          <w:sz w:val="24"/>
          <w:szCs w:val="24"/>
          <w:highlight w:val="none"/>
        </w:rPr>
        <w:t>人，教职工</w:t>
      </w:r>
      <w:r>
        <w:rPr>
          <w:rFonts w:hint="eastAsia" w:ascii="宋体" w:hAnsi="宋体" w:eastAsia="宋体" w:cs="宋体"/>
          <w:sz w:val="24"/>
          <w:szCs w:val="24"/>
          <w:highlight w:val="none"/>
          <w:lang w:val="en-US" w:eastAsia="zh-CN"/>
        </w:rPr>
        <w:t>238</w:t>
      </w:r>
      <w:r>
        <w:rPr>
          <w:rFonts w:hint="eastAsia" w:ascii="宋体" w:hAnsi="宋体" w:eastAsia="宋体" w:cs="宋体"/>
          <w:sz w:val="24"/>
          <w:szCs w:val="24"/>
          <w:highlight w:val="none"/>
        </w:rPr>
        <w:t>人，其中专任教师</w:t>
      </w:r>
      <w:r>
        <w:rPr>
          <w:rFonts w:hint="eastAsia" w:ascii="宋体" w:hAnsi="宋体" w:eastAsia="宋体" w:cs="宋体"/>
          <w:sz w:val="24"/>
          <w:szCs w:val="24"/>
          <w:highlight w:val="none"/>
          <w:lang w:val="en-US" w:eastAsia="zh-CN"/>
        </w:rPr>
        <w:t>166</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博士30</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硕士79人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硕士及以上教师占专任教师总数的65.66%</w:t>
      </w:r>
      <w:r>
        <w:rPr>
          <w:rFonts w:hint="eastAsia" w:ascii="宋体" w:hAnsi="宋体" w:eastAsia="宋体" w:cs="宋体"/>
          <w:sz w:val="24"/>
          <w:szCs w:val="24"/>
          <w:highlight w:val="none"/>
        </w:rPr>
        <w:t>；</w:t>
      </w:r>
      <w:r>
        <w:rPr>
          <w:rFonts w:hint="eastAsia" w:ascii="宋体" w:hAnsi="宋体" w:eastAsia="宋体" w:cs="宋体"/>
          <w:b w:val="0"/>
          <w:bCs w:val="0"/>
          <w:kern w:val="2"/>
          <w:sz w:val="24"/>
          <w:szCs w:val="24"/>
          <w:highlight w:val="none"/>
          <w:lang w:val="en-US" w:eastAsia="zh-CN" w:bidi="ar-SA"/>
        </w:rPr>
        <w:t>具有高级职称教师36人</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占</w:t>
      </w:r>
      <w:r>
        <w:rPr>
          <w:rFonts w:hint="eastAsia" w:ascii="宋体" w:hAnsi="宋体" w:cs="宋体"/>
          <w:b w:val="0"/>
          <w:bCs w:val="0"/>
          <w:kern w:val="2"/>
          <w:sz w:val="24"/>
          <w:szCs w:val="24"/>
          <w:highlight w:val="none"/>
          <w:lang w:val="en-US" w:eastAsia="zh-CN" w:bidi="ar-SA"/>
        </w:rPr>
        <w:t>21.69</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sz w:val="24"/>
          <w:szCs w:val="24"/>
          <w:highlight w:val="none"/>
        </w:rPr>
        <w:t>有云南省教学名师4人。</w:t>
      </w:r>
      <w:r>
        <w:rPr>
          <w:rFonts w:hint="eastAsia" w:ascii="宋体" w:hAnsi="宋体" w:eastAsia="宋体" w:cs="宋体"/>
          <w:sz w:val="24"/>
          <w:szCs w:val="24"/>
          <w:lang w:val="en-US" w:eastAsia="zh-CN"/>
        </w:rPr>
        <w:t>学校牵头成立了1个职业教育集团—</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shd w:val="clear" w:color="auto" w:fill="auto"/>
          <w:lang w:val="en-US" w:eastAsia="zh-CN"/>
        </w:rPr>
        <w:t>云南体育职业教育</w:t>
      </w:r>
      <w:r>
        <w:rPr>
          <w:rFonts w:hint="eastAsia" w:ascii="宋体" w:hAnsi="宋体" w:eastAsia="宋体" w:cs="宋体"/>
          <w:color w:val="auto"/>
          <w:sz w:val="24"/>
          <w:szCs w:val="24"/>
          <w:lang w:val="en-US" w:eastAsia="zh-CN"/>
        </w:rPr>
        <w:t>职业</w:t>
      </w:r>
      <w:r>
        <w:rPr>
          <w:rFonts w:hint="eastAsia" w:ascii="宋体" w:hAnsi="宋体" w:eastAsia="宋体" w:cs="宋体"/>
          <w:sz w:val="24"/>
          <w:szCs w:val="24"/>
          <w:lang w:val="en-US" w:eastAsia="zh-CN"/>
        </w:rPr>
        <w:t>教育集团，正在开展校企合作的企业数有43家、其中有41家为当地企业。</w:t>
      </w:r>
      <w:r>
        <w:rPr>
          <w:rFonts w:hint="eastAsia" w:ascii="宋体" w:hAnsi="宋体" w:eastAsia="宋体" w:cs="宋体"/>
          <w:sz w:val="24"/>
          <w:szCs w:val="24"/>
          <w:highlight w:val="none"/>
          <w:lang w:val="en-US" w:eastAsia="zh-CN"/>
        </w:rPr>
        <w:t>办学以来</w:t>
      </w:r>
      <w:r>
        <w:rPr>
          <w:rFonts w:hint="eastAsia" w:ascii="宋体" w:hAnsi="宋体" w:eastAsia="宋体" w:cs="宋体"/>
          <w:sz w:val="24"/>
          <w:szCs w:val="24"/>
        </w:rPr>
        <w:t>，我校为专业队培养输送了1400多名优秀体育人才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w:t>
      </w:r>
      <w:r>
        <w:rPr>
          <w:rFonts w:hint="eastAsia" w:ascii="宋体" w:hAnsi="宋体" w:eastAsia="宋体" w:cs="宋体"/>
          <w:sz w:val="24"/>
          <w:szCs w:val="24"/>
        </w:rPr>
        <w:t>有3人获得奥运会冠军，有3人获得奥运会亚军，有5人获世界冠军，12人获亚洲冠军，100多人获全运会及全国冠军。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下设5个二级学院。现共有体育教育、运动训练、体育运营与管理、社会体育、体育保健与康复、康复治疗技术、园艺技术（高尔夫草坪养护方向）、新闻采编与制作（体育新闻方向）、电子信息工程技术（体育电子信息方向）、舞蹈表演（体育舞蹈方向）、旅游管理（体育旅游方向）、休闲服务与管理（高尔夫、马术方向）、经济信息管理、休闲体育、高尔夫球运动与管理、健身指导与管理、体育艺术表演、民族传统体育共18个专业。近年来，学校办学质量逐年提升，学校获得</w:t>
      </w:r>
      <w:r>
        <w:rPr>
          <w:rFonts w:hint="eastAsia" w:ascii="宋体" w:hAnsi="宋体" w:eastAsia="宋体" w:cs="宋体"/>
          <w:sz w:val="24"/>
          <w:szCs w:val="24"/>
          <w:lang w:val="en-US" w:eastAsia="zh-CN"/>
        </w:rPr>
        <w:t>1</w:t>
      </w:r>
      <w:r>
        <w:rPr>
          <w:rFonts w:hint="eastAsia" w:ascii="宋体" w:hAnsi="宋体" w:eastAsia="宋体" w:cs="宋体"/>
          <w:sz w:val="24"/>
          <w:szCs w:val="24"/>
        </w:rPr>
        <w:t>项中央财政支持项目、68项省级以上质量工程项目。在全国体育高职院校学生职业技能大赛中，多次获得一等奖、二等奖、三等奖、优秀组织奖等优异成绩。近三年新生报</w:t>
      </w:r>
      <w:r>
        <w:rPr>
          <w:rFonts w:hint="eastAsia" w:ascii="宋体" w:hAnsi="宋体" w:eastAsia="宋体" w:cs="宋体"/>
          <w:sz w:val="24"/>
          <w:szCs w:val="24"/>
          <w:highlight w:val="none"/>
        </w:rPr>
        <w:t>到率达到</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除今年疫情影响外学校</w:t>
      </w:r>
      <w:r>
        <w:rPr>
          <w:rFonts w:hint="eastAsia" w:ascii="宋体" w:hAnsi="宋体" w:eastAsia="宋体" w:cs="宋体"/>
          <w:sz w:val="24"/>
          <w:szCs w:val="24"/>
          <w:highlight w:val="none"/>
        </w:rPr>
        <w:t>连续多年毕业生就业率达95%以上</w:t>
      </w:r>
      <w:r>
        <w:rPr>
          <w:rFonts w:hint="eastAsia" w:ascii="宋体" w:hAnsi="宋体" w:eastAsia="宋体" w:cs="宋体"/>
          <w:sz w:val="24"/>
          <w:szCs w:val="24"/>
        </w:rPr>
        <w:t>，就业质量不断提升，多次获得“云南省高校毕业生就业创业工作目标责任考核一等奖”。</w:t>
      </w:r>
    </w:p>
    <w:p>
      <w:pPr>
        <w:pStyle w:val="2"/>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sz w:val="28"/>
          <w:szCs w:val="28"/>
          <w:lang w:val="en-US" w:eastAsia="zh-CN"/>
        </w:rPr>
      </w:pPr>
      <w:r>
        <w:rPr>
          <w:rFonts w:hint="eastAsia"/>
          <w:sz w:val="28"/>
          <w:szCs w:val="28"/>
          <w:lang w:val="en-US" w:eastAsia="zh-CN"/>
        </w:rPr>
        <w:t>一、适应社会需求的办学能力</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年生均财政拨款水平</w:t>
      </w:r>
      <w:r>
        <w:rPr>
          <w:rFonts w:hint="eastAsia" w:ascii="宋体" w:hAnsi="宋体" w:eastAsia="宋体" w:cs="宋体"/>
          <w:b/>
          <w:bCs w:val="0"/>
          <w:sz w:val="24"/>
          <w:szCs w:val="24"/>
          <w:lang w:val="en-US" w:eastAsia="zh-CN"/>
        </w:rPr>
        <w:t>良好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1、学校办学经费收入逐年递增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近3年，学校的办学经费主要来源于国家财政性教育经费、捐赠收入、事业收入和其他收入4项组成</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办学经费年收入为2017年8020.56万元、2018年8375.03万元、2019年9113.74万元，总收入25509.33万元，</w:t>
      </w:r>
      <w:r>
        <w:rPr>
          <w:rFonts w:hint="eastAsia" w:ascii="宋体" w:hAnsi="宋体" w:eastAsia="宋体" w:cs="宋体"/>
          <w:sz w:val="24"/>
          <w:szCs w:val="24"/>
          <w:highlight w:val="none"/>
          <w:lang w:val="en-US" w:eastAsia="zh-CN"/>
        </w:rPr>
        <w:t>年生均拨款分别约为19943元。</w:t>
      </w:r>
      <w:r>
        <w:rPr>
          <w:rFonts w:hint="eastAsia" w:ascii="宋体" w:hAnsi="宋体" w:eastAsia="宋体" w:cs="宋体"/>
          <w:sz w:val="24"/>
          <w:szCs w:val="24"/>
          <w:lang w:val="en-US" w:eastAsia="zh-CN"/>
        </w:rPr>
        <w:t>其中：国家财政性教育经费19049.62万元、</w:t>
      </w:r>
      <w:r>
        <w:rPr>
          <w:rFonts w:hint="eastAsia" w:ascii="宋体" w:hAnsi="宋体" w:eastAsia="宋体" w:cs="宋体"/>
          <w:sz w:val="24"/>
          <w:szCs w:val="24"/>
          <w:highlight w:val="none"/>
          <w:lang w:val="en-US" w:eastAsia="zh-CN"/>
        </w:rPr>
        <w:t>占总收入的74.68%；捐赠收入为0；事业收入6022.39万元、占23.61%；其他收入437.32万元、占1.71%。</w:t>
      </w:r>
    </w:p>
    <w:p>
      <w:pPr>
        <w:spacing w:line="360" w:lineRule="auto"/>
        <w:ind w:left="-36" w:leftChars="-67" w:hanging="105" w:hangingChars="50"/>
        <w:jc w:val="center"/>
        <w:rPr>
          <w:rFonts w:hint="eastAsia" w:ascii="宋体" w:hAnsi="宋体" w:eastAsia="宋体" w:cs="宋体"/>
          <w:sz w:val="21"/>
          <w:szCs w:val="21"/>
        </w:rPr>
      </w:pPr>
      <w:r>
        <w:rPr>
          <w:rFonts w:hint="eastAsia" w:ascii="宋体" w:hAnsi="宋体" w:eastAsia="宋体" w:cs="宋体"/>
          <w:sz w:val="21"/>
          <w:szCs w:val="21"/>
        </w:rPr>
        <w:t>表1  201</w:t>
      </w:r>
      <w:r>
        <w:rPr>
          <w:rFonts w:hint="eastAsia" w:ascii="宋体" w:hAnsi="宋体" w:eastAsia="宋体" w:cs="宋体"/>
          <w:sz w:val="21"/>
          <w:szCs w:val="21"/>
          <w:lang w:val="en-US" w:eastAsia="zh-CN"/>
        </w:rPr>
        <w:t>7</w:t>
      </w:r>
      <w:r>
        <w:rPr>
          <w:rFonts w:hint="eastAsia" w:ascii="宋体" w:hAnsi="宋体" w:eastAsia="宋体" w:cs="宋体"/>
          <w:sz w:val="21"/>
          <w:szCs w:val="21"/>
        </w:rPr>
        <w:t>—201</w:t>
      </w:r>
      <w:r>
        <w:rPr>
          <w:rFonts w:hint="eastAsia" w:ascii="宋体" w:hAnsi="宋体" w:eastAsia="宋体" w:cs="宋体"/>
          <w:sz w:val="21"/>
          <w:szCs w:val="21"/>
          <w:lang w:val="en-US" w:eastAsia="zh-CN"/>
        </w:rPr>
        <w:t>9</w:t>
      </w:r>
      <w:r>
        <w:rPr>
          <w:rFonts w:hint="eastAsia" w:ascii="宋体" w:hAnsi="宋体" w:eastAsia="宋体" w:cs="宋体"/>
          <w:sz w:val="21"/>
          <w:szCs w:val="21"/>
        </w:rPr>
        <w:t>年办学经费收入情况（单位：万元）</w:t>
      </w:r>
    </w:p>
    <w:tbl>
      <w:tblPr>
        <w:tblStyle w:val="7"/>
        <w:tblW w:w="46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298"/>
        <w:gridCol w:w="1365"/>
        <w:gridCol w:w="1410"/>
        <w:gridCol w:w="1320"/>
        <w:gridCol w:w="1388"/>
      </w:tblGrid>
      <w:tr>
        <w:tblPrEx>
          <w:tblCellMar>
            <w:top w:w="0" w:type="dxa"/>
            <w:left w:w="0" w:type="dxa"/>
            <w:bottom w:w="0" w:type="dxa"/>
            <w:right w:w="0" w:type="dxa"/>
          </w:tblCellMar>
        </w:tblPrEx>
        <w:trPr>
          <w:trHeight w:val="720" w:hRule="atLeast"/>
        </w:trPr>
        <w:tc>
          <w:tcPr>
            <w:tcW w:w="1476" w:type="pct"/>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经费来源</w:t>
            </w:r>
          </w:p>
        </w:tc>
        <w:tc>
          <w:tcPr>
            <w:tcW w:w="877"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b/>
                <w:bCs/>
                <w:i w:val="0"/>
                <w:color w:val="000000"/>
                <w:sz w:val="21"/>
                <w:szCs w:val="21"/>
                <w:u w:val="none"/>
                <w:lang w:val="en-US"/>
              </w:rPr>
            </w:pPr>
            <w:r>
              <w:rPr>
                <w:rFonts w:hint="eastAsia" w:ascii="宋体" w:hAnsi="宋体" w:eastAsia="宋体" w:cs="宋体"/>
                <w:b/>
                <w:bCs/>
                <w:i w:val="0"/>
                <w:color w:val="000000"/>
                <w:kern w:val="0"/>
                <w:sz w:val="21"/>
                <w:szCs w:val="21"/>
                <w:u w:val="none"/>
                <w:lang w:val="en-US" w:eastAsia="zh-CN" w:bidi="ar"/>
              </w:rPr>
              <w:t>2017年</w:t>
            </w:r>
          </w:p>
        </w:tc>
        <w:tc>
          <w:tcPr>
            <w:tcW w:w="906"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b/>
                <w:bCs/>
                <w:i w:val="0"/>
                <w:color w:val="000000"/>
                <w:sz w:val="21"/>
                <w:szCs w:val="21"/>
                <w:u w:val="none"/>
                <w:lang w:val="en-US"/>
              </w:rPr>
            </w:pPr>
            <w:r>
              <w:rPr>
                <w:rFonts w:hint="eastAsia" w:ascii="宋体" w:hAnsi="宋体" w:eastAsia="宋体" w:cs="宋体"/>
                <w:b/>
                <w:bCs/>
                <w:i w:val="0"/>
                <w:color w:val="000000"/>
                <w:kern w:val="0"/>
                <w:sz w:val="21"/>
                <w:szCs w:val="21"/>
                <w:u w:val="none"/>
                <w:lang w:val="en-US" w:eastAsia="zh-CN" w:bidi="ar"/>
              </w:rPr>
              <w:t>2018年</w:t>
            </w:r>
          </w:p>
        </w:tc>
        <w:tc>
          <w:tcPr>
            <w:tcW w:w="848"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b/>
                <w:bCs/>
                <w:i w:val="0"/>
                <w:color w:val="000000"/>
                <w:sz w:val="21"/>
                <w:szCs w:val="21"/>
                <w:u w:val="none"/>
                <w:lang w:val="en-US"/>
              </w:rPr>
            </w:pPr>
            <w:r>
              <w:rPr>
                <w:rFonts w:hint="eastAsia" w:ascii="宋体" w:hAnsi="宋体" w:eastAsia="宋体" w:cs="宋体"/>
                <w:b/>
                <w:bCs/>
                <w:i w:val="0"/>
                <w:color w:val="000000"/>
                <w:kern w:val="0"/>
                <w:sz w:val="21"/>
                <w:szCs w:val="21"/>
                <w:u w:val="none"/>
                <w:lang w:val="en-US" w:eastAsia="zh-CN" w:bidi="ar"/>
              </w:rPr>
              <w:t>2019年</w:t>
            </w:r>
          </w:p>
        </w:tc>
        <w:tc>
          <w:tcPr>
            <w:tcW w:w="891"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476" w:type="pct"/>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国家财政性教育经费</w:t>
            </w:r>
          </w:p>
        </w:tc>
        <w:tc>
          <w:tcPr>
            <w:tcW w:w="877"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6105.88</w:t>
            </w:r>
          </w:p>
        </w:tc>
        <w:tc>
          <w:tcPr>
            <w:tcW w:w="906"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6127.47</w:t>
            </w:r>
          </w:p>
        </w:tc>
        <w:tc>
          <w:tcPr>
            <w:tcW w:w="848"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6816.27</w:t>
            </w:r>
          </w:p>
        </w:tc>
        <w:tc>
          <w:tcPr>
            <w:tcW w:w="891"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19049.62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476" w:type="pct"/>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捐赠收入</w:t>
            </w:r>
          </w:p>
        </w:tc>
        <w:tc>
          <w:tcPr>
            <w:tcW w:w="877"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906"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48"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91"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476" w:type="pct"/>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877"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1837.37</w:t>
            </w:r>
          </w:p>
        </w:tc>
        <w:tc>
          <w:tcPr>
            <w:tcW w:w="906"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2173.02</w:t>
            </w:r>
          </w:p>
        </w:tc>
        <w:tc>
          <w:tcPr>
            <w:tcW w:w="848"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2012</w:t>
            </w:r>
          </w:p>
        </w:tc>
        <w:tc>
          <w:tcPr>
            <w:tcW w:w="891"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6022.39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476" w:type="pct"/>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877"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77.31</w:t>
            </w:r>
          </w:p>
        </w:tc>
        <w:tc>
          <w:tcPr>
            <w:tcW w:w="906"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74.54</w:t>
            </w:r>
          </w:p>
        </w:tc>
        <w:tc>
          <w:tcPr>
            <w:tcW w:w="848"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285.47</w:t>
            </w:r>
          </w:p>
        </w:tc>
        <w:tc>
          <w:tcPr>
            <w:tcW w:w="891"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476" w:type="pct"/>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877"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8020.56</w:t>
            </w:r>
          </w:p>
        </w:tc>
        <w:tc>
          <w:tcPr>
            <w:tcW w:w="906"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8375.03</w:t>
            </w:r>
          </w:p>
        </w:tc>
        <w:tc>
          <w:tcPr>
            <w:tcW w:w="848"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9113.74</w:t>
            </w:r>
          </w:p>
        </w:tc>
        <w:tc>
          <w:tcPr>
            <w:tcW w:w="891"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25509.33</w:t>
            </w:r>
          </w:p>
        </w:tc>
      </w:tr>
    </w:tbl>
    <w:p>
      <w:pPr>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rPr>
        <w:t>数据来源：</w:t>
      </w:r>
      <w:r>
        <w:rPr>
          <w:rFonts w:hint="eastAsia" w:ascii="宋体" w:hAnsi="宋体" w:eastAsia="宋体" w:cs="宋体"/>
          <w:color w:val="auto"/>
          <w:sz w:val="18"/>
          <w:szCs w:val="18"/>
          <w:highlight w:val="none"/>
          <w:lang w:val="en-US" w:eastAsia="zh-CN"/>
        </w:rPr>
        <w:t>全国职业院校评估数据采集系统（</w:t>
      </w:r>
      <w:r>
        <w:rPr>
          <w:rFonts w:hint="eastAsia" w:ascii="宋体" w:hAnsi="宋体" w:eastAsia="宋体" w:cs="宋体"/>
          <w:color w:val="auto"/>
          <w:sz w:val="18"/>
          <w:szCs w:val="18"/>
          <w:highlight w:val="none"/>
        </w:rPr>
        <w:t>云南体育运动职业技术学院201</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lang w:val="en-US" w:eastAsia="zh-CN"/>
        </w:rPr>
        <w:t>填报数据</w:t>
      </w:r>
      <w:r>
        <w:rPr>
          <w:rFonts w:hint="eastAsia" w:ascii="宋体" w:hAnsi="宋体" w:eastAsia="宋体" w:cs="宋体"/>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drawing>
          <wp:inline distT="0" distB="0" distL="114300" distR="114300">
            <wp:extent cx="4210050" cy="2019935"/>
            <wp:effectExtent l="4445" t="5080" r="14605" b="13335"/>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1"/>
          <w:szCs w:val="21"/>
          <w:lang w:val="en-US" w:eastAsia="zh-CN"/>
        </w:rPr>
        <w:t>图1  学校办学经费各项占比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2、国家财政性教育经费增长较快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学校的</w:t>
      </w:r>
      <w:r>
        <w:rPr>
          <w:rFonts w:hint="eastAsia" w:ascii="宋体" w:hAnsi="宋体" w:eastAsia="宋体" w:cs="宋体"/>
          <w:sz w:val="24"/>
          <w:szCs w:val="24"/>
        </w:rPr>
        <w:t>国家财政性教育经费</w:t>
      </w:r>
      <w:r>
        <w:rPr>
          <w:rFonts w:hint="eastAsia" w:ascii="宋体" w:hAnsi="宋体" w:eastAsia="宋体" w:cs="宋体"/>
          <w:sz w:val="24"/>
          <w:szCs w:val="24"/>
          <w:lang w:val="en-US" w:eastAsia="zh-CN"/>
        </w:rPr>
        <w:t>收入有一般公共预算安排的教育经费、政府性基金预算安排的教育经费、企业办学中的企业拨款、校办产业和社会服务收入用于教育的经费、其他属于国家财政性教育经费等组成。近3年，</w:t>
      </w:r>
      <w:r>
        <w:rPr>
          <w:rFonts w:hint="eastAsia" w:ascii="宋体" w:hAnsi="宋体" w:eastAsia="宋体" w:cs="宋体"/>
          <w:sz w:val="24"/>
          <w:szCs w:val="24"/>
        </w:rPr>
        <w:t>国家财政性教育经费</w:t>
      </w:r>
      <w:r>
        <w:rPr>
          <w:rFonts w:hint="eastAsia" w:ascii="宋体" w:hAnsi="宋体" w:eastAsia="宋体" w:cs="宋体"/>
          <w:sz w:val="24"/>
          <w:szCs w:val="24"/>
          <w:lang w:val="en-US" w:eastAsia="zh-CN"/>
        </w:rPr>
        <w:t>总收入17882.86万元，年收入分别为4579.10万元、6202.01万元、7101.75万元，呈递增趋势。</w:t>
      </w:r>
      <w:r>
        <w:rPr>
          <w:rFonts w:hint="eastAsia" w:ascii="宋体" w:hAnsi="宋体" w:eastAsia="宋体" w:cs="宋体"/>
          <w:sz w:val="24"/>
          <w:szCs w:val="24"/>
          <w:highlight w:val="none"/>
          <w:lang w:val="en-US" w:eastAsia="zh-CN"/>
        </w:rPr>
        <w:t>其中：一般公共预算安排的教育经费16205.82万元、占</w:t>
      </w:r>
      <w:r>
        <w:rPr>
          <w:rFonts w:hint="eastAsia" w:ascii="宋体" w:hAnsi="宋体" w:eastAsia="宋体" w:cs="宋体"/>
          <w:sz w:val="24"/>
          <w:szCs w:val="24"/>
        </w:rPr>
        <w:t>国家财政性教育经费</w:t>
      </w:r>
      <w:r>
        <w:rPr>
          <w:rFonts w:hint="eastAsia" w:ascii="宋体" w:hAnsi="宋体" w:eastAsia="宋体" w:cs="宋体"/>
          <w:sz w:val="24"/>
          <w:szCs w:val="24"/>
          <w:lang w:val="en-US" w:eastAsia="zh-CN"/>
        </w:rPr>
        <w:t>总收入的90.62%；政府性基金预算安排的教育经费1317.03万元、占7.36%；校办产业和社会服务收入用于教育的经费360.01万元、占2.01%。学校的国家财政性教育经费收入以</w:t>
      </w:r>
      <w:r>
        <w:rPr>
          <w:rFonts w:hint="eastAsia" w:ascii="宋体" w:hAnsi="宋体" w:eastAsia="宋体" w:cs="宋体"/>
          <w:sz w:val="24"/>
          <w:szCs w:val="24"/>
          <w:highlight w:val="none"/>
          <w:lang w:val="en-US" w:eastAsia="zh-CN"/>
        </w:rPr>
        <w:t>一般公共预算安排的教育经费为主。</w:t>
      </w:r>
    </w:p>
    <w:p>
      <w:pPr>
        <w:spacing w:line="360" w:lineRule="auto"/>
        <w:ind w:left="-36" w:leftChars="-67" w:hanging="105" w:hangingChars="50"/>
        <w:jc w:val="center"/>
        <w:rPr>
          <w:rFonts w:hint="eastAsia" w:ascii="宋体" w:hAnsi="宋体" w:eastAsia="宋体" w:cs="宋体"/>
          <w:sz w:val="21"/>
          <w:szCs w:val="21"/>
        </w:rPr>
      </w:pPr>
      <w:r>
        <w:rPr>
          <w:rFonts w:hint="eastAsia" w:ascii="宋体" w:hAnsi="宋体" w:eastAsia="宋体" w:cs="宋体"/>
          <w:sz w:val="21"/>
          <w:szCs w:val="21"/>
          <w:lang w:val="en-US" w:eastAsia="zh-CN"/>
        </w:rPr>
        <w:t>表2  2017-2019年</w:t>
      </w:r>
      <w:r>
        <w:rPr>
          <w:rFonts w:hint="eastAsia" w:ascii="宋体" w:hAnsi="宋体" w:eastAsia="宋体" w:cs="宋体"/>
          <w:sz w:val="21"/>
          <w:szCs w:val="21"/>
        </w:rPr>
        <w:t>国家财政性教育经费</w:t>
      </w:r>
      <w:r>
        <w:rPr>
          <w:rFonts w:hint="eastAsia" w:ascii="宋体" w:hAnsi="宋体" w:eastAsia="宋体" w:cs="宋体"/>
          <w:sz w:val="21"/>
          <w:szCs w:val="21"/>
          <w:lang w:val="en-US" w:eastAsia="zh-CN"/>
        </w:rPr>
        <w:t>收入情况</w:t>
      </w:r>
      <w:r>
        <w:rPr>
          <w:rFonts w:hint="eastAsia" w:ascii="宋体" w:hAnsi="宋体" w:eastAsia="宋体" w:cs="宋体"/>
          <w:sz w:val="21"/>
          <w:szCs w:val="21"/>
        </w:rPr>
        <w:t>（单位：万元）</w:t>
      </w:r>
    </w:p>
    <w:tbl>
      <w:tblPr>
        <w:tblStyle w:val="7"/>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063"/>
        <w:gridCol w:w="1185"/>
        <w:gridCol w:w="1125"/>
        <w:gridCol w:w="117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0" w:hRule="atLeast"/>
        </w:trPr>
        <w:tc>
          <w:tcPr>
            <w:tcW w:w="4063"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经费来源</w:t>
            </w:r>
          </w:p>
        </w:tc>
        <w:tc>
          <w:tcPr>
            <w:tcW w:w="118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2017年</w:t>
            </w:r>
          </w:p>
        </w:tc>
        <w:tc>
          <w:tcPr>
            <w:tcW w:w="112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2018年</w:t>
            </w:r>
          </w:p>
        </w:tc>
        <w:tc>
          <w:tcPr>
            <w:tcW w:w="11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2019年</w:t>
            </w:r>
          </w:p>
        </w:tc>
        <w:tc>
          <w:tcPr>
            <w:tcW w:w="10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4063" w:type="dxa"/>
            <w:shd w:val="clear" w:color="auto" w:fill="auto"/>
            <w:noWrap/>
            <w:tcMar>
              <w:top w:w="15" w:type="dxa"/>
              <w:left w:w="15" w:type="dxa"/>
              <w:right w:w="15" w:type="dxa"/>
            </w:tcMar>
            <w:vAlign w:val="top"/>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一般公共预算安排的教育经费</w:t>
            </w:r>
          </w:p>
        </w:tc>
        <w:tc>
          <w:tcPr>
            <w:tcW w:w="118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4579.1</w:t>
            </w:r>
          </w:p>
        </w:tc>
        <w:tc>
          <w:tcPr>
            <w:tcW w:w="112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5097.31</w:t>
            </w:r>
          </w:p>
        </w:tc>
        <w:tc>
          <w:tcPr>
            <w:tcW w:w="11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6529.41</w:t>
            </w:r>
          </w:p>
        </w:tc>
        <w:tc>
          <w:tcPr>
            <w:tcW w:w="10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16205.82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4063" w:type="dxa"/>
            <w:shd w:val="clear" w:color="auto" w:fill="auto"/>
            <w:noWrap/>
            <w:tcMar>
              <w:top w:w="15" w:type="dxa"/>
              <w:left w:w="15" w:type="dxa"/>
              <w:right w:w="15" w:type="dxa"/>
            </w:tcMar>
            <w:vAlign w:val="top"/>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政府性基金预算安排的教育经费</w:t>
            </w:r>
          </w:p>
        </w:tc>
        <w:tc>
          <w:tcPr>
            <w:tcW w:w="118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2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1030.16</w:t>
            </w:r>
          </w:p>
        </w:tc>
        <w:tc>
          <w:tcPr>
            <w:tcW w:w="11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286.87</w:t>
            </w:r>
          </w:p>
        </w:tc>
        <w:tc>
          <w:tcPr>
            <w:tcW w:w="10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4063" w:type="dxa"/>
            <w:shd w:val="clear" w:color="auto" w:fill="auto"/>
            <w:noWrap/>
            <w:tcMar>
              <w:top w:w="15" w:type="dxa"/>
              <w:left w:w="15" w:type="dxa"/>
              <w:right w:w="15" w:type="dxa"/>
            </w:tcMar>
            <w:vAlign w:val="top"/>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企业办学中的企业拨款</w:t>
            </w:r>
          </w:p>
        </w:tc>
        <w:tc>
          <w:tcPr>
            <w:tcW w:w="118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2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0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4063" w:type="dxa"/>
            <w:shd w:val="clear" w:color="auto" w:fill="auto"/>
            <w:noWrap/>
            <w:tcMar>
              <w:top w:w="15" w:type="dxa"/>
              <w:left w:w="15" w:type="dxa"/>
              <w:right w:w="15" w:type="dxa"/>
            </w:tcMar>
            <w:vAlign w:val="top"/>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校办产业和社会服务收入用于教育的经费</w:t>
            </w:r>
          </w:p>
        </w:tc>
        <w:tc>
          <w:tcPr>
            <w:tcW w:w="118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2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74.54</w:t>
            </w:r>
          </w:p>
        </w:tc>
        <w:tc>
          <w:tcPr>
            <w:tcW w:w="11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285.47</w:t>
            </w:r>
          </w:p>
        </w:tc>
        <w:tc>
          <w:tcPr>
            <w:tcW w:w="10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4063" w:type="dxa"/>
            <w:shd w:val="clear" w:color="auto" w:fill="auto"/>
            <w:noWrap/>
            <w:tcMar>
              <w:top w:w="15" w:type="dxa"/>
              <w:left w:w="15" w:type="dxa"/>
              <w:right w:w="15" w:type="dxa"/>
            </w:tcMar>
            <w:vAlign w:val="top"/>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其他属于国家财政性教育经费</w:t>
            </w:r>
          </w:p>
        </w:tc>
        <w:tc>
          <w:tcPr>
            <w:tcW w:w="118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2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0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4063" w:type="dxa"/>
            <w:shd w:val="clear" w:color="auto" w:fill="auto"/>
            <w:noWrap/>
            <w:tcMar>
              <w:top w:w="15" w:type="dxa"/>
              <w:left w:w="15" w:type="dxa"/>
              <w:right w:w="15" w:type="dxa"/>
            </w:tcMar>
            <w:vAlign w:val="top"/>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18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4579.10</w:t>
            </w:r>
          </w:p>
        </w:tc>
        <w:tc>
          <w:tcPr>
            <w:tcW w:w="1125"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6202.01</w:t>
            </w:r>
          </w:p>
        </w:tc>
        <w:tc>
          <w:tcPr>
            <w:tcW w:w="11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7101.75</w:t>
            </w:r>
          </w:p>
        </w:tc>
        <w:tc>
          <w:tcPr>
            <w:tcW w:w="1076" w:type="dxa"/>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17882.86</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drawing>
          <wp:inline distT="0" distB="0" distL="114300" distR="114300">
            <wp:extent cx="4163060" cy="2458085"/>
            <wp:effectExtent l="4445" t="4445" r="23495" b="13970"/>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1"/>
          <w:szCs w:val="21"/>
          <w:lang w:val="en-US" w:eastAsia="zh-CN"/>
        </w:rPr>
        <w:t xml:space="preserve">图2  </w:t>
      </w:r>
      <w:r>
        <w:rPr>
          <w:rFonts w:hint="eastAsia" w:ascii="宋体" w:hAnsi="宋体" w:eastAsia="宋体" w:cs="宋体"/>
          <w:sz w:val="21"/>
          <w:szCs w:val="21"/>
        </w:rPr>
        <w:t>国家财政性教育经费</w:t>
      </w:r>
      <w:r>
        <w:rPr>
          <w:rFonts w:hint="eastAsia" w:ascii="宋体" w:hAnsi="宋体" w:eastAsia="宋体" w:cs="宋体"/>
          <w:sz w:val="21"/>
          <w:szCs w:val="21"/>
          <w:lang w:val="en-US" w:eastAsia="zh-CN"/>
        </w:rPr>
        <w:t>收入各项占比</w:t>
      </w:r>
    </w:p>
    <w:p>
      <w:pPr>
        <w:pStyle w:val="3"/>
        <w:keepNext/>
        <w:keepLines/>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生均教学仪器设备值</w:t>
      </w:r>
      <w:r>
        <w:rPr>
          <w:rFonts w:hint="eastAsia" w:ascii="宋体" w:hAnsi="宋体" w:eastAsia="宋体" w:cs="宋体"/>
          <w:b/>
          <w:bCs w:val="0"/>
          <w:sz w:val="24"/>
          <w:szCs w:val="24"/>
          <w:lang w:val="en-US" w:eastAsia="zh-CN"/>
        </w:rPr>
        <w:t>优于标准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校具备良好的教学实践条件，每个专业都建有校内外实习实训基地，且设备配套完善。近3年，教学、科研仪器设备资产总值趋于平稳，年均2889.85万元；现有在校生4570人，生均教学/科研仪器设备值为6323.52元，优于《普通高等学院基本办学条件指标（试行）》中生均3000元的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学校紧密联系行业企业，积极探索“共建、共享”校企合作模式，企业提供的校内实践教学设备值大幅增加，2019年较前一年增长了133.55%。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表3  </w:t>
      </w:r>
      <w:r>
        <w:rPr>
          <w:rFonts w:hint="eastAsia" w:ascii="宋体" w:hAnsi="宋体" w:eastAsia="宋体" w:cs="宋体"/>
          <w:sz w:val="21"/>
          <w:szCs w:val="21"/>
          <w:lang w:eastAsia="zh-CN"/>
        </w:rPr>
        <w:t>教学仪器设备值</w:t>
      </w:r>
      <w:r>
        <w:rPr>
          <w:rFonts w:hint="eastAsia" w:ascii="宋体" w:hAnsi="宋体" w:eastAsia="宋体" w:cs="宋体"/>
          <w:sz w:val="21"/>
          <w:szCs w:val="21"/>
          <w:lang w:val="en-US" w:eastAsia="zh-CN"/>
        </w:rPr>
        <w:t>情况</w:t>
      </w:r>
      <w:r>
        <w:rPr>
          <w:rFonts w:hint="eastAsia" w:ascii="宋体" w:hAnsi="宋体" w:eastAsia="宋体" w:cs="宋体"/>
          <w:sz w:val="21"/>
          <w:szCs w:val="21"/>
        </w:rPr>
        <w:t>（单位：万元）</w:t>
      </w:r>
    </w:p>
    <w:tbl>
      <w:tblPr>
        <w:tblStyle w:val="7"/>
        <w:tblW w:w="7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80"/>
        <w:gridCol w:w="2597"/>
        <w:gridCol w:w="1309"/>
        <w:gridCol w:w="132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3677" w:type="dxa"/>
            <w:gridSpan w:val="2"/>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经费来源</w:t>
            </w:r>
          </w:p>
        </w:tc>
        <w:tc>
          <w:tcPr>
            <w:tcW w:w="1309"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2017年</w:t>
            </w:r>
          </w:p>
        </w:tc>
        <w:tc>
          <w:tcPr>
            <w:tcW w:w="1323"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2018年</w:t>
            </w:r>
          </w:p>
        </w:tc>
        <w:tc>
          <w:tcPr>
            <w:tcW w:w="1536"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080" w:type="dxa"/>
            <w:vMerge w:val="restart"/>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教学、科研仪器设备资产总值</w:t>
            </w:r>
          </w:p>
        </w:tc>
        <w:tc>
          <w:tcPr>
            <w:tcW w:w="2597"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学校产权</w:t>
            </w:r>
          </w:p>
        </w:tc>
        <w:tc>
          <w:tcPr>
            <w:tcW w:w="1309"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2811.52</w:t>
            </w:r>
          </w:p>
        </w:tc>
        <w:tc>
          <w:tcPr>
            <w:tcW w:w="1323"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2914.78</w:t>
            </w:r>
          </w:p>
        </w:tc>
        <w:tc>
          <w:tcPr>
            <w:tcW w:w="1536"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2571.05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080" w:type="dxa"/>
            <w:vMerge w:val="continue"/>
            <w:tcBorders>
              <w:tl2br w:val="nil"/>
              <w:tr2bl w:val="nil"/>
            </w:tcBorders>
            <w:shd w:val="clear" w:color="auto" w:fill="auto"/>
            <w:tcMar>
              <w:top w:w="15" w:type="dxa"/>
              <w:left w:w="15" w:type="dxa"/>
              <w:right w:w="15" w:type="dxa"/>
            </w:tcMar>
            <w:vAlign w:val="top"/>
          </w:tcPr>
          <w:p>
            <w:pPr>
              <w:jc w:val="both"/>
              <w:rPr>
                <w:rFonts w:hint="eastAsia" w:ascii="宋体" w:hAnsi="宋体" w:eastAsia="宋体" w:cs="宋体"/>
                <w:i w:val="0"/>
                <w:color w:val="000000"/>
                <w:kern w:val="0"/>
                <w:sz w:val="21"/>
                <w:szCs w:val="21"/>
                <w:u w:val="none"/>
                <w:lang w:val="en-US" w:eastAsia="zh-CN" w:bidi="ar"/>
              </w:rPr>
            </w:pPr>
          </w:p>
        </w:tc>
        <w:tc>
          <w:tcPr>
            <w:tcW w:w="2597"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非学校产权独立使用</w:t>
            </w:r>
          </w:p>
        </w:tc>
        <w:tc>
          <w:tcPr>
            <w:tcW w:w="1309"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90.5</w:t>
            </w:r>
          </w:p>
        </w:tc>
        <w:tc>
          <w:tcPr>
            <w:tcW w:w="1323"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81.2</w:t>
            </w:r>
          </w:p>
        </w:tc>
        <w:tc>
          <w:tcPr>
            <w:tcW w:w="1536"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677" w:type="dxa"/>
            <w:gridSpan w:val="2"/>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小计</w:t>
            </w:r>
          </w:p>
        </w:tc>
        <w:tc>
          <w:tcPr>
            <w:tcW w:w="1309"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2902.02</w:t>
            </w:r>
          </w:p>
        </w:tc>
        <w:tc>
          <w:tcPr>
            <w:tcW w:w="1323"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2995.98</w:t>
            </w:r>
          </w:p>
        </w:tc>
        <w:tc>
          <w:tcPr>
            <w:tcW w:w="1536"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2771.55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677" w:type="dxa"/>
            <w:gridSpan w:val="2"/>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企业提供的校内实践教学设备值</w:t>
            </w:r>
          </w:p>
        </w:tc>
        <w:tc>
          <w:tcPr>
            <w:tcW w:w="1309"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90.5</w:t>
            </w:r>
          </w:p>
        </w:tc>
        <w:tc>
          <w:tcPr>
            <w:tcW w:w="1323"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81.2</w:t>
            </w:r>
          </w:p>
        </w:tc>
        <w:tc>
          <w:tcPr>
            <w:tcW w:w="1536"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200.5</w:t>
            </w:r>
          </w:p>
        </w:tc>
      </w:tr>
    </w:tbl>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eastAsia="zh-CN"/>
        </w:rPr>
        <w:t>）生均教学行政用房</w:t>
      </w:r>
      <w:r>
        <w:rPr>
          <w:rFonts w:hint="eastAsia" w:ascii="宋体" w:hAnsi="宋体" w:eastAsia="宋体" w:cs="宋体"/>
          <w:b/>
          <w:bCs w:val="0"/>
          <w:sz w:val="24"/>
          <w:szCs w:val="24"/>
          <w:lang w:val="en-US" w:eastAsia="zh-CN"/>
        </w:rPr>
        <w:t>待改善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截至2019年底，学校教学及辅助、行政办公用房学校教学及辅助、行政办公用房由学校产权34432.87</w:t>
      </w:r>
      <w:r>
        <w:rPr>
          <w:rFonts w:hint="eastAsia" w:ascii="宋体" w:hAnsi="宋体" w:eastAsia="宋体" w:cs="宋体"/>
          <w:sz w:val="24"/>
          <w:szCs w:val="24"/>
        </w:rPr>
        <w:t>平方米</w:t>
      </w:r>
      <w:r>
        <w:rPr>
          <w:rFonts w:hint="eastAsia" w:ascii="宋体" w:hAnsi="宋体" w:eastAsia="宋体" w:cs="宋体"/>
          <w:sz w:val="24"/>
          <w:szCs w:val="24"/>
          <w:lang w:val="en-US" w:eastAsia="zh-CN"/>
        </w:rPr>
        <w:t>和非学校产权非独立使用</w:t>
      </w:r>
      <w:r>
        <w:rPr>
          <w:rFonts w:hint="eastAsia" w:ascii="宋体" w:hAnsi="宋体" w:eastAsia="宋体" w:cs="宋体"/>
          <w:sz w:val="24"/>
          <w:szCs w:val="24"/>
          <w:lang w:eastAsia="zh-CN"/>
        </w:rPr>
        <w:t>17010平方米</w:t>
      </w:r>
      <w:r>
        <w:rPr>
          <w:rFonts w:hint="eastAsia" w:ascii="宋体" w:hAnsi="宋体" w:eastAsia="宋体" w:cs="宋体"/>
          <w:sz w:val="24"/>
          <w:szCs w:val="24"/>
          <w:lang w:val="en-US" w:eastAsia="zh-CN"/>
        </w:rPr>
        <w:t>构成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总面积为51442.87</w:t>
      </w:r>
      <w:r>
        <w:rPr>
          <w:rFonts w:hint="eastAsia" w:ascii="宋体" w:hAnsi="宋体" w:eastAsia="宋体" w:cs="宋体"/>
          <w:sz w:val="24"/>
          <w:szCs w:val="24"/>
        </w:rPr>
        <w:t>平方米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生均教学行政用房11.26平方米/生，目前与《普通高等学院基本办学条件指标（试行）》中体育高职院校生均22平方米/生的合格标准有差距。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表4  </w:t>
      </w:r>
      <w:r>
        <w:rPr>
          <w:rFonts w:hint="eastAsia" w:ascii="宋体" w:hAnsi="宋体" w:eastAsia="宋体" w:cs="宋体"/>
          <w:sz w:val="21"/>
          <w:szCs w:val="21"/>
          <w:lang w:eastAsia="zh-CN"/>
        </w:rPr>
        <w:t>教学及辅助、行政办公用房</w:t>
      </w:r>
      <w:r>
        <w:rPr>
          <w:rFonts w:hint="eastAsia" w:ascii="宋体" w:hAnsi="宋体" w:eastAsia="宋体" w:cs="宋体"/>
          <w:sz w:val="21"/>
          <w:szCs w:val="21"/>
          <w:lang w:val="en-US" w:eastAsia="zh-CN"/>
        </w:rPr>
        <w:t>情况（单位：平方米）</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15"/>
        <w:gridCol w:w="3758"/>
        <w:gridCol w:w="18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jc w:val="center"/>
        </w:trPr>
        <w:tc>
          <w:tcPr>
            <w:tcW w:w="789"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学校产权</w:t>
            </w:r>
          </w:p>
        </w:tc>
        <w:tc>
          <w:tcPr>
            <w:tcW w:w="22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教学科研及辅助用房面积</w:t>
            </w:r>
          </w:p>
        </w:tc>
        <w:tc>
          <w:tcPr>
            <w:tcW w:w="108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32371.77</w:t>
            </w:r>
          </w:p>
        </w:tc>
        <w:tc>
          <w:tcPr>
            <w:tcW w:w="869"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34432.87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789" w:type="pct"/>
            <w:vMerge w:val="continue"/>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p>
        </w:tc>
        <w:tc>
          <w:tcPr>
            <w:tcW w:w="22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行政办公用房面积</w:t>
            </w:r>
          </w:p>
        </w:tc>
        <w:tc>
          <w:tcPr>
            <w:tcW w:w="108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2061.1</w:t>
            </w:r>
          </w:p>
        </w:tc>
        <w:tc>
          <w:tcPr>
            <w:tcW w:w="869" w:type="pct"/>
            <w:vMerge w:val="continue"/>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78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非学校产权非独立使用</w:t>
            </w:r>
          </w:p>
        </w:tc>
        <w:tc>
          <w:tcPr>
            <w:tcW w:w="22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教学科研及辅助用房面积</w:t>
            </w:r>
          </w:p>
        </w:tc>
        <w:tc>
          <w:tcPr>
            <w:tcW w:w="108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17010</w:t>
            </w:r>
          </w:p>
        </w:tc>
        <w:tc>
          <w:tcPr>
            <w:tcW w:w="869"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17010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789"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p>
        </w:tc>
        <w:tc>
          <w:tcPr>
            <w:tcW w:w="22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行政办公用房面积</w:t>
            </w:r>
          </w:p>
        </w:tc>
        <w:tc>
          <w:tcPr>
            <w:tcW w:w="108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w:t>
            </w:r>
          </w:p>
        </w:tc>
        <w:tc>
          <w:tcPr>
            <w:tcW w:w="869" w:type="pct"/>
            <w:vMerge w:val="continue"/>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130" w:type="pct"/>
            <w:gridSpan w:val="3"/>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p>
        </w:tc>
        <w:tc>
          <w:tcPr>
            <w:tcW w:w="86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51442.87</w:t>
            </w:r>
          </w:p>
        </w:tc>
      </w:tr>
    </w:tbl>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eastAsia="zh-CN"/>
        </w:rPr>
        <w:t>）信息化教学条件</w:t>
      </w:r>
      <w:r>
        <w:rPr>
          <w:rFonts w:hint="eastAsia" w:ascii="宋体" w:hAnsi="宋体" w:eastAsia="宋体" w:cs="宋体"/>
          <w:b/>
          <w:bCs w:val="0"/>
          <w:sz w:val="24"/>
          <w:szCs w:val="24"/>
          <w:lang w:val="en-US" w:eastAsia="zh-CN"/>
        </w:rPr>
        <w:t>勉强满足教学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学校高度重视校园信息化建设，致力于打造“智慧校园”，完善校园网络和公共服务基础设施建设，实现了全校无线网络全覆盖，目前，接入互联网出口带宽2000Mbps，主干网带宽达</w:t>
      </w:r>
      <w:r>
        <w:rPr>
          <w:rFonts w:hint="eastAsia" w:ascii="宋体" w:hAnsi="宋体" w:eastAsia="宋体" w:cs="宋体"/>
          <w:sz w:val="24"/>
          <w:szCs w:val="24"/>
        </w:rPr>
        <w:t>1024Mbps</w:t>
      </w:r>
      <w:r>
        <w:rPr>
          <w:rFonts w:hint="eastAsia" w:ascii="宋体" w:hAnsi="宋体" w:eastAsia="宋体" w:cs="宋体"/>
          <w:b w:val="0"/>
          <w:bCs w:val="0"/>
          <w:sz w:val="24"/>
          <w:szCs w:val="24"/>
          <w:lang w:val="en-US" w:eastAsia="zh-CN"/>
        </w:rPr>
        <w:t>，网络信息点500个，数字资源总量180GB，4门上网课程。同时，在</w:t>
      </w:r>
      <w:r>
        <w:rPr>
          <w:rFonts w:hint="default" w:ascii="宋体" w:hAnsi="宋体" w:eastAsia="宋体" w:cs="宋体"/>
          <w:b w:val="0"/>
          <w:bCs w:val="0"/>
          <w:sz w:val="24"/>
          <w:szCs w:val="24"/>
          <w:lang w:val="en-US" w:eastAsia="zh-CN"/>
        </w:rPr>
        <w:t>教务教学管理</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招生就业管理</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网络课程及教学系统数据管理系统</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校园门户系统</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网络及信息安全系统</w:t>
      </w:r>
      <w:r>
        <w:rPr>
          <w:rFonts w:hint="eastAsia" w:ascii="宋体" w:hAnsi="宋体" w:eastAsia="宋体" w:cs="宋体"/>
          <w:b w:val="0"/>
          <w:bCs w:val="0"/>
          <w:sz w:val="24"/>
          <w:szCs w:val="24"/>
          <w:lang w:val="en-US" w:eastAsia="zh-CN"/>
        </w:rPr>
        <w:t>等范围均</w:t>
      </w:r>
      <w:r>
        <w:rPr>
          <w:rFonts w:hint="default" w:ascii="宋体" w:hAnsi="宋体" w:eastAsia="宋体" w:cs="宋体"/>
          <w:b w:val="0"/>
          <w:bCs w:val="0"/>
          <w:sz w:val="24"/>
          <w:szCs w:val="24"/>
          <w:lang w:val="en-US" w:eastAsia="zh-CN"/>
        </w:rPr>
        <w:t>实现信息化管理</w:t>
      </w:r>
      <w:r>
        <w:rPr>
          <w:rFonts w:hint="eastAsia" w:ascii="宋体"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教学用终端（计算机）260台，每百名学生配教学用计算机约6台，与</w:t>
      </w:r>
      <w:r>
        <w:rPr>
          <w:rFonts w:hint="eastAsia" w:ascii="宋体" w:hAnsi="宋体" w:eastAsia="宋体" w:cs="宋体"/>
          <w:sz w:val="24"/>
          <w:szCs w:val="24"/>
          <w:lang w:val="en-US" w:eastAsia="zh-CN"/>
        </w:rPr>
        <w:t>《普通高等学院基本办学条件指标（试行）》中体育高职院校百名学生配教学用计算机8台的合格要求有所差距。</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eastAsia="zh-CN"/>
        </w:rPr>
        <w:t>）生均校内实践教学工位数</w:t>
      </w:r>
      <w:r>
        <w:rPr>
          <w:rFonts w:hint="eastAsia" w:ascii="宋体" w:hAnsi="宋体" w:eastAsia="宋体" w:cs="宋体"/>
          <w:b/>
          <w:bCs w:val="0"/>
          <w:sz w:val="24"/>
          <w:szCs w:val="24"/>
          <w:lang w:val="en-US" w:eastAsia="zh-CN"/>
        </w:rPr>
        <w:t>充裕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学校逐年扩大对教学实践的投入，积极引进过内外知名品牌共建共享集实训教学、产品生产、技术研发、区域服务等为一体的校内实训基地，切实改善专业实训实践条件，现有</w:t>
      </w:r>
      <w:r>
        <w:rPr>
          <w:rFonts w:hint="eastAsia" w:ascii="宋体" w:hAnsi="宋体" w:eastAsia="宋体" w:cs="宋体"/>
          <w:b w:val="0"/>
          <w:bCs w:val="0"/>
          <w:color w:val="auto"/>
          <w:sz w:val="24"/>
          <w:szCs w:val="24"/>
          <w:highlight w:val="none"/>
          <w:lang w:val="en-US" w:eastAsia="zh-CN"/>
        </w:rPr>
        <w:t>户外拓展实训基地、体育保健康复理疗</w:t>
      </w:r>
      <w:r>
        <w:rPr>
          <w:rFonts w:hint="eastAsia" w:ascii="宋体" w:hAnsi="宋体" w:eastAsia="宋体" w:cs="宋体"/>
          <w:b w:val="0"/>
          <w:bCs w:val="0"/>
          <w:sz w:val="24"/>
          <w:szCs w:val="24"/>
          <w:lang w:val="en-US" w:eastAsia="zh-CN"/>
        </w:rPr>
        <w:t>实训室等共36个校内实践基地。校内实践教学工位2349个，生均校内实践教学工位0.5个。</w:t>
      </w:r>
    </w:p>
    <w:p>
      <w:pPr>
        <w:pStyle w:val="2"/>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sz w:val="28"/>
          <w:szCs w:val="28"/>
          <w:lang w:val="en-US" w:eastAsia="zh-CN"/>
        </w:rPr>
      </w:pPr>
      <w:r>
        <w:rPr>
          <w:rFonts w:hint="eastAsia"/>
          <w:sz w:val="28"/>
          <w:szCs w:val="28"/>
          <w:lang w:val="en-US" w:eastAsia="zh-CN"/>
        </w:rPr>
        <w:t>二、适应社会需求的师资队伍能力</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sz w:val="24"/>
          <w:szCs w:val="24"/>
          <w:highlight w:val="none"/>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highlight w:val="none"/>
          <w:lang w:eastAsia="zh-CN"/>
        </w:rPr>
        <w:t>）生师比</w:t>
      </w:r>
      <w:r>
        <w:rPr>
          <w:rFonts w:hint="eastAsia" w:ascii="宋体" w:hAnsi="宋体" w:eastAsia="宋体" w:cs="宋体"/>
          <w:b/>
          <w:bCs w:val="0"/>
          <w:sz w:val="24"/>
          <w:szCs w:val="24"/>
          <w:highlight w:val="none"/>
          <w:lang w:val="en-US" w:eastAsia="zh-CN"/>
        </w:rPr>
        <w:t>与要求略有差距、高学历高职称占比高</w:t>
      </w: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截至2019年，</w:t>
      </w:r>
      <w:r>
        <w:rPr>
          <w:rFonts w:hint="eastAsia" w:ascii="宋体" w:hAnsi="宋体" w:cs="宋体"/>
          <w:b w:val="0"/>
          <w:bCs w:val="0"/>
          <w:kern w:val="2"/>
          <w:sz w:val="24"/>
          <w:szCs w:val="24"/>
          <w:highlight w:val="none"/>
          <w:lang w:val="en-US" w:eastAsia="zh-CN" w:bidi="ar-SA"/>
        </w:rPr>
        <w:t>在校生4570人，</w:t>
      </w:r>
      <w:r>
        <w:rPr>
          <w:rFonts w:hint="eastAsia" w:ascii="宋体" w:hAnsi="宋体" w:eastAsia="宋体" w:cs="宋体"/>
          <w:b w:val="0"/>
          <w:bCs w:val="0"/>
          <w:kern w:val="2"/>
          <w:sz w:val="24"/>
          <w:szCs w:val="24"/>
          <w:highlight w:val="none"/>
          <w:lang w:val="en-US" w:eastAsia="zh-CN" w:bidi="ar-SA"/>
        </w:rPr>
        <w:t>学校教职工238人</w:t>
      </w:r>
      <w:r>
        <w:rPr>
          <w:rFonts w:hint="eastAsia" w:ascii="宋体" w:hAnsi="宋体" w:cs="宋体"/>
          <w:b w:val="0"/>
          <w:bCs w:val="0"/>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外聘教师147人</w:t>
      </w:r>
      <w:r>
        <w:rPr>
          <w:rFonts w:hint="eastAsia" w:ascii="宋体" w:hAnsi="宋体" w:cs="宋体"/>
          <w:b w:val="0"/>
          <w:bCs w:val="0"/>
          <w:kern w:val="2"/>
          <w:sz w:val="24"/>
          <w:szCs w:val="24"/>
          <w:highlight w:val="none"/>
          <w:lang w:val="en-US" w:eastAsia="zh-CN" w:bidi="ar-SA"/>
        </w:rPr>
        <w:t>，折合教师总数312人，</w:t>
      </w:r>
      <w:r>
        <w:rPr>
          <w:rFonts w:hint="eastAsia" w:ascii="宋体" w:hAnsi="宋体" w:cs="宋体"/>
          <w:b w:val="0"/>
          <w:bCs w:val="0"/>
          <w:color w:val="auto"/>
          <w:kern w:val="2"/>
          <w:sz w:val="24"/>
          <w:szCs w:val="24"/>
          <w:highlight w:val="none"/>
          <w:lang w:val="en-US" w:eastAsia="zh-CN" w:bidi="ar-SA"/>
        </w:rPr>
        <w:t>生师比为14.65:1，与</w:t>
      </w:r>
      <w:r>
        <w:rPr>
          <w:rFonts w:hint="eastAsia" w:ascii="宋体" w:hAnsi="宋体" w:eastAsia="宋体" w:cs="宋体"/>
          <w:sz w:val="24"/>
          <w:szCs w:val="24"/>
          <w:highlight w:val="none"/>
          <w:lang w:val="en-US" w:eastAsia="zh-CN"/>
        </w:rPr>
        <w:t>《普通高等学院基本办学条件指标（试行）》中</w:t>
      </w:r>
      <w:r>
        <w:rPr>
          <w:rFonts w:hint="eastAsia" w:ascii="宋体" w:hAnsi="宋体" w:cs="宋体"/>
          <w:sz w:val="24"/>
          <w:szCs w:val="24"/>
          <w:highlight w:val="none"/>
          <w:lang w:val="en-US" w:eastAsia="zh-CN"/>
        </w:rPr>
        <w:t>体育高职院校13:1的生师比有一些差距</w:t>
      </w:r>
      <w:r>
        <w:rPr>
          <w:rFonts w:hint="eastAsia" w:ascii="宋体" w:hAnsi="宋体" w:cs="宋体"/>
          <w:b w:val="0"/>
          <w:bCs w:val="0"/>
          <w:kern w:val="2"/>
          <w:sz w:val="24"/>
          <w:szCs w:val="24"/>
          <w:highlight w:val="none"/>
          <w:lang w:val="en-US" w:eastAsia="zh-CN" w:bidi="ar-SA"/>
        </w:rPr>
        <w:t>。</w:t>
      </w: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专任教师166人，</w:t>
      </w:r>
      <w:r>
        <w:rPr>
          <w:rFonts w:hint="eastAsia" w:ascii="宋体" w:hAnsi="宋体" w:eastAsia="宋体" w:cs="宋体"/>
          <w:b w:val="0"/>
          <w:bCs w:val="0"/>
          <w:kern w:val="2"/>
          <w:sz w:val="24"/>
          <w:szCs w:val="24"/>
          <w:lang w:val="en-US" w:eastAsia="zh-CN" w:bidi="ar-SA"/>
        </w:rPr>
        <w:t>其中专业教师116人</w:t>
      </w:r>
      <w:r>
        <w:rPr>
          <w:rFonts w:hint="eastAsia" w:ascii="宋体" w:hAnsi="宋体" w:cs="宋体"/>
          <w:b w:val="0"/>
          <w:bCs w:val="0"/>
          <w:kern w:val="2"/>
          <w:sz w:val="24"/>
          <w:szCs w:val="24"/>
          <w:lang w:val="en-US" w:eastAsia="zh-CN" w:bidi="ar-SA"/>
        </w:rPr>
        <w:t>。</w:t>
      </w:r>
      <w:r>
        <w:rPr>
          <w:rFonts w:hint="eastAsia"/>
          <w:sz w:val="24"/>
          <w:szCs w:val="24"/>
          <w:lang w:val="en-US" w:eastAsia="zh-CN"/>
        </w:rPr>
        <w:t>在</w:t>
      </w:r>
      <w:r>
        <w:rPr>
          <w:rFonts w:hint="eastAsia"/>
          <w:sz w:val="24"/>
          <w:szCs w:val="24"/>
        </w:rPr>
        <w:t>学历结构</w:t>
      </w:r>
      <w:r>
        <w:rPr>
          <w:rFonts w:hint="eastAsia"/>
          <w:sz w:val="24"/>
          <w:szCs w:val="24"/>
          <w:lang w:val="en-US" w:eastAsia="zh-CN"/>
        </w:rPr>
        <w:t>上，具有</w:t>
      </w:r>
      <w:r>
        <w:rPr>
          <w:rFonts w:hint="eastAsia" w:ascii="宋体" w:hAnsi="宋体" w:cs="宋体"/>
          <w:b w:val="0"/>
          <w:bCs w:val="0"/>
          <w:kern w:val="2"/>
          <w:sz w:val="24"/>
          <w:szCs w:val="24"/>
          <w:lang w:val="en-US" w:eastAsia="zh-CN" w:bidi="ar-SA"/>
        </w:rPr>
        <w:t>博士学位教师30人、占</w:t>
      </w:r>
      <w:r>
        <w:rPr>
          <w:rFonts w:hint="eastAsia" w:ascii="宋体" w:hAnsi="宋体" w:eastAsia="宋体" w:cs="宋体"/>
          <w:b w:val="0"/>
          <w:bCs w:val="0"/>
          <w:kern w:val="2"/>
          <w:sz w:val="24"/>
          <w:szCs w:val="24"/>
          <w:lang w:val="en-US" w:eastAsia="zh-CN" w:bidi="ar-SA"/>
        </w:rPr>
        <w:t>专任教师</w:t>
      </w:r>
      <w:r>
        <w:rPr>
          <w:rFonts w:hint="eastAsia" w:ascii="宋体" w:hAnsi="宋体" w:cs="宋体"/>
          <w:b w:val="0"/>
          <w:bCs w:val="0"/>
          <w:kern w:val="2"/>
          <w:sz w:val="24"/>
          <w:szCs w:val="24"/>
          <w:lang w:val="en-US" w:eastAsia="zh-CN" w:bidi="ar-SA"/>
        </w:rPr>
        <w:t>总数</w:t>
      </w:r>
      <w:r>
        <w:rPr>
          <w:rFonts w:hint="eastAsia" w:ascii="宋体" w:hAnsi="宋体" w:eastAsia="宋体" w:cs="宋体"/>
          <w:b w:val="0"/>
          <w:bCs w:val="0"/>
          <w:kern w:val="2"/>
          <w:sz w:val="24"/>
          <w:szCs w:val="24"/>
          <w:lang w:val="en-US" w:eastAsia="zh-CN" w:bidi="ar-SA"/>
        </w:rPr>
        <w:t>的</w:t>
      </w:r>
      <w:r>
        <w:rPr>
          <w:rFonts w:hint="eastAsia" w:ascii="宋体" w:hAnsi="宋体" w:cs="宋体"/>
          <w:b w:val="0"/>
          <w:bCs w:val="0"/>
          <w:kern w:val="2"/>
          <w:sz w:val="24"/>
          <w:szCs w:val="24"/>
          <w:lang w:val="en-US" w:eastAsia="zh-CN" w:bidi="ar-SA"/>
        </w:rPr>
        <w:t>18.07%；</w:t>
      </w:r>
      <w:r>
        <w:rPr>
          <w:rFonts w:hint="eastAsia"/>
          <w:sz w:val="24"/>
          <w:szCs w:val="24"/>
          <w:lang w:val="en-US" w:eastAsia="zh-CN"/>
        </w:rPr>
        <w:t>具有</w:t>
      </w:r>
      <w:r>
        <w:rPr>
          <w:rFonts w:hint="eastAsia" w:ascii="宋体" w:hAnsi="宋体" w:cs="宋体"/>
          <w:b w:val="0"/>
          <w:bCs w:val="0"/>
          <w:kern w:val="2"/>
          <w:sz w:val="24"/>
          <w:szCs w:val="24"/>
          <w:lang w:val="en-US" w:eastAsia="zh-CN" w:bidi="ar-SA"/>
        </w:rPr>
        <w:t>硕士学位教师79人、</w:t>
      </w:r>
      <w:r>
        <w:rPr>
          <w:rFonts w:hint="eastAsia" w:ascii="宋体" w:hAnsi="宋体" w:eastAsia="宋体" w:cs="宋体"/>
          <w:b w:val="0"/>
          <w:bCs w:val="0"/>
          <w:kern w:val="2"/>
          <w:sz w:val="24"/>
          <w:szCs w:val="24"/>
          <w:lang w:val="en-US" w:eastAsia="zh-CN" w:bidi="ar-SA"/>
        </w:rPr>
        <w:t>占</w:t>
      </w:r>
      <w:r>
        <w:rPr>
          <w:rFonts w:hint="eastAsia" w:ascii="宋体" w:hAnsi="宋体" w:cs="宋体"/>
          <w:b w:val="0"/>
          <w:bCs w:val="0"/>
          <w:kern w:val="2"/>
          <w:sz w:val="24"/>
          <w:szCs w:val="24"/>
          <w:lang w:val="en-US" w:eastAsia="zh-CN" w:bidi="ar-SA"/>
        </w:rPr>
        <w:t>47.59</w:t>
      </w:r>
      <w:r>
        <w:rPr>
          <w:rFonts w:hint="eastAsia" w:ascii="宋体" w:hAnsi="宋体" w:eastAsia="宋体" w:cs="宋体"/>
          <w:b w:val="0"/>
          <w:bCs w:val="0"/>
          <w:kern w:val="2"/>
          <w:sz w:val="24"/>
          <w:szCs w:val="24"/>
          <w:lang w:val="en-US" w:eastAsia="zh-CN" w:bidi="ar-SA"/>
        </w:rPr>
        <w:t>%；本科毕业生50人，占</w:t>
      </w:r>
      <w:r>
        <w:rPr>
          <w:rFonts w:hint="eastAsia" w:ascii="宋体" w:hAnsi="宋体" w:cs="宋体"/>
          <w:b w:val="0"/>
          <w:bCs w:val="0"/>
          <w:kern w:val="2"/>
          <w:sz w:val="24"/>
          <w:szCs w:val="24"/>
          <w:lang w:val="en-US" w:eastAsia="zh-CN" w:bidi="ar-SA"/>
        </w:rPr>
        <w:t>30.12</w:t>
      </w:r>
      <w:r>
        <w:rPr>
          <w:rFonts w:hint="eastAsia" w:ascii="宋体" w:hAnsi="宋体" w:eastAsia="宋体" w:cs="宋体"/>
          <w:b w:val="0"/>
          <w:bCs w:val="0"/>
          <w:kern w:val="2"/>
          <w:sz w:val="24"/>
          <w:szCs w:val="24"/>
          <w:lang w:val="en-US" w:eastAsia="zh-CN" w:bidi="ar-SA"/>
        </w:rPr>
        <w:t>%；专科毕业生7人，占</w:t>
      </w:r>
      <w:r>
        <w:rPr>
          <w:rFonts w:hint="eastAsia" w:ascii="宋体" w:hAnsi="宋体" w:cs="宋体"/>
          <w:b w:val="0"/>
          <w:bCs w:val="0"/>
          <w:kern w:val="2"/>
          <w:sz w:val="24"/>
          <w:szCs w:val="24"/>
          <w:lang w:val="en-US" w:eastAsia="zh-CN" w:bidi="ar-SA"/>
        </w:rPr>
        <w:t>4.22</w:t>
      </w:r>
      <w:r>
        <w:rPr>
          <w:rFonts w:hint="eastAsia" w:ascii="宋体" w:hAnsi="宋体" w:eastAsia="宋体" w:cs="宋体"/>
          <w:b w:val="0"/>
          <w:bCs w:val="0"/>
          <w:kern w:val="2"/>
          <w:sz w:val="24"/>
          <w:szCs w:val="24"/>
          <w:lang w:val="en-US" w:eastAsia="zh-CN" w:bidi="ar-SA"/>
        </w:rPr>
        <w:t>%。</w:t>
      </w:r>
      <w:r>
        <w:rPr>
          <w:rFonts w:hint="eastAsia" w:ascii="宋体" w:hAnsi="宋体" w:cs="宋体"/>
          <w:sz w:val="24"/>
          <w:szCs w:val="24"/>
          <w:highlight w:val="none"/>
          <w:lang w:val="en-US" w:eastAsia="zh-CN"/>
        </w:rPr>
        <w:t>学校</w:t>
      </w:r>
      <w:r>
        <w:rPr>
          <w:rFonts w:hint="eastAsia" w:ascii="宋体" w:hAnsi="宋体" w:cs="宋体"/>
          <w:b w:val="0"/>
          <w:bCs w:val="0"/>
          <w:kern w:val="2"/>
          <w:sz w:val="24"/>
          <w:szCs w:val="24"/>
          <w:highlight w:val="none"/>
          <w:lang w:val="en-US" w:eastAsia="zh-CN" w:bidi="ar-SA"/>
        </w:rPr>
        <w:t>具有研究生学历教师占专任教师的</w:t>
      </w:r>
      <w:r>
        <w:rPr>
          <w:rFonts w:hint="eastAsia" w:ascii="宋体" w:hAnsi="宋体" w:cs="宋体"/>
          <w:b w:val="0"/>
          <w:bCs w:val="0"/>
          <w:color w:val="auto"/>
          <w:kern w:val="2"/>
          <w:sz w:val="24"/>
          <w:szCs w:val="24"/>
          <w:highlight w:val="none"/>
          <w:lang w:val="en-US" w:eastAsia="zh-CN" w:bidi="ar-SA"/>
        </w:rPr>
        <w:t>比例高达65.66%，远远高于15%的办学条件标准要求。</w:t>
      </w:r>
      <w:r>
        <w:rPr>
          <w:rFonts w:hint="eastAsia"/>
          <w:color w:val="auto"/>
          <w:sz w:val="24"/>
          <w:szCs w:val="24"/>
          <w:highlight w:val="none"/>
          <w:lang w:val="en-US" w:eastAsia="zh-CN"/>
        </w:rPr>
        <w:t>在</w:t>
      </w:r>
      <w:r>
        <w:rPr>
          <w:color w:val="auto"/>
          <w:sz w:val="24"/>
          <w:szCs w:val="24"/>
          <w:highlight w:val="none"/>
        </w:rPr>
        <w:t>职称结构</w:t>
      </w:r>
      <w:r>
        <w:rPr>
          <w:rFonts w:hint="eastAsia"/>
          <w:color w:val="auto"/>
          <w:sz w:val="24"/>
          <w:szCs w:val="24"/>
          <w:highlight w:val="none"/>
          <w:lang w:val="en-US" w:eastAsia="zh-CN"/>
        </w:rPr>
        <w:t>上，</w:t>
      </w:r>
      <w:r>
        <w:rPr>
          <w:rFonts w:hint="eastAsia" w:ascii="宋体" w:hAnsi="宋体" w:eastAsia="宋体" w:cs="宋体"/>
          <w:b w:val="0"/>
          <w:bCs w:val="0"/>
          <w:color w:val="auto"/>
          <w:kern w:val="2"/>
          <w:sz w:val="24"/>
          <w:szCs w:val="24"/>
          <w:highlight w:val="none"/>
          <w:lang w:val="en-US" w:eastAsia="zh-CN" w:bidi="ar-SA"/>
        </w:rPr>
        <w:t>具有高级职称教师3</w:t>
      </w:r>
      <w:r>
        <w:rPr>
          <w:rFonts w:hint="eastAsia" w:ascii="宋体"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人</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占</w:t>
      </w:r>
      <w:r>
        <w:rPr>
          <w:rFonts w:hint="eastAsia" w:ascii="宋体" w:hAnsi="宋体" w:cs="宋体"/>
          <w:b w:val="0"/>
          <w:bCs w:val="0"/>
          <w:color w:val="auto"/>
          <w:kern w:val="2"/>
          <w:sz w:val="24"/>
          <w:szCs w:val="24"/>
          <w:highlight w:val="none"/>
          <w:lang w:val="en-US" w:eastAsia="zh-CN" w:bidi="ar-SA"/>
        </w:rPr>
        <w:t>专任教师总数的22.29</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w:t>
      </w:r>
      <w:r>
        <w:rPr>
          <w:rFonts w:hint="eastAsia" w:ascii="宋体" w:hAnsi="宋体" w:cs="宋体"/>
          <w:color w:val="auto"/>
          <w:sz w:val="24"/>
          <w:szCs w:val="24"/>
          <w:highlight w:val="none"/>
          <w:lang w:val="en-US" w:eastAsia="zh-CN"/>
        </w:rPr>
        <w:t>达到</w:t>
      </w:r>
      <w:r>
        <w:rPr>
          <w:rFonts w:hint="eastAsia" w:ascii="宋体" w:hAnsi="宋体" w:cs="宋体"/>
          <w:b w:val="0"/>
          <w:bCs w:val="0"/>
          <w:color w:val="auto"/>
          <w:kern w:val="2"/>
          <w:sz w:val="24"/>
          <w:szCs w:val="24"/>
          <w:highlight w:val="none"/>
          <w:lang w:val="en-US" w:eastAsia="zh-CN" w:bidi="ar-SA"/>
        </w:rPr>
        <w:t>20</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的合格要求；</w:t>
      </w:r>
      <w:r>
        <w:rPr>
          <w:rFonts w:hint="eastAsia" w:ascii="宋体" w:hAnsi="宋体" w:eastAsia="宋体" w:cs="宋体"/>
          <w:b w:val="0"/>
          <w:bCs w:val="0"/>
          <w:color w:val="auto"/>
          <w:kern w:val="2"/>
          <w:sz w:val="24"/>
          <w:szCs w:val="24"/>
          <w:highlight w:val="none"/>
          <w:lang w:val="en-US" w:eastAsia="zh-CN" w:bidi="ar-SA"/>
        </w:rPr>
        <w:t>中级职称教师</w:t>
      </w:r>
      <w:r>
        <w:rPr>
          <w:rFonts w:hint="eastAsia" w:ascii="宋体" w:hAnsi="宋体" w:cs="宋体"/>
          <w:b w:val="0"/>
          <w:bCs w:val="0"/>
          <w:color w:val="auto"/>
          <w:kern w:val="2"/>
          <w:sz w:val="24"/>
          <w:szCs w:val="24"/>
          <w:highlight w:val="none"/>
          <w:lang w:val="en-US" w:eastAsia="zh-CN" w:bidi="ar-SA"/>
        </w:rPr>
        <w:t>74</w:t>
      </w:r>
      <w:r>
        <w:rPr>
          <w:rFonts w:hint="eastAsia" w:ascii="宋体" w:hAnsi="宋体" w:eastAsia="宋体" w:cs="宋体"/>
          <w:b w:val="0"/>
          <w:bCs w:val="0"/>
          <w:color w:val="auto"/>
          <w:kern w:val="2"/>
          <w:sz w:val="24"/>
          <w:szCs w:val="24"/>
          <w:highlight w:val="none"/>
          <w:lang w:val="en-US" w:eastAsia="zh-CN" w:bidi="ar-SA"/>
        </w:rPr>
        <w:t>人</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占</w:t>
      </w:r>
      <w:r>
        <w:rPr>
          <w:rFonts w:hint="eastAsia" w:ascii="宋体" w:hAnsi="宋体" w:cs="宋体"/>
          <w:b w:val="0"/>
          <w:bCs w:val="0"/>
          <w:color w:val="auto"/>
          <w:kern w:val="2"/>
          <w:sz w:val="24"/>
          <w:szCs w:val="24"/>
          <w:highlight w:val="none"/>
          <w:lang w:val="en-US" w:eastAsia="zh-CN" w:bidi="ar-SA"/>
        </w:rPr>
        <w:t>44.58</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初级职称教师</w:t>
      </w:r>
      <w:r>
        <w:rPr>
          <w:rFonts w:hint="eastAsia" w:ascii="宋体" w:hAnsi="宋体" w:cs="宋体"/>
          <w:b w:val="0"/>
          <w:bCs w:val="0"/>
          <w:color w:val="auto"/>
          <w:kern w:val="2"/>
          <w:sz w:val="24"/>
          <w:szCs w:val="24"/>
          <w:highlight w:val="none"/>
          <w:lang w:val="en-US" w:eastAsia="zh-CN" w:bidi="ar-SA"/>
        </w:rPr>
        <w:t>28</w:t>
      </w:r>
      <w:r>
        <w:rPr>
          <w:rFonts w:hint="eastAsia" w:ascii="宋体" w:hAnsi="宋体" w:eastAsia="宋体" w:cs="宋体"/>
          <w:b w:val="0"/>
          <w:bCs w:val="0"/>
          <w:color w:val="auto"/>
          <w:kern w:val="2"/>
          <w:sz w:val="24"/>
          <w:szCs w:val="24"/>
          <w:highlight w:val="none"/>
          <w:lang w:val="en-US" w:eastAsia="zh-CN" w:bidi="ar-SA"/>
        </w:rPr>
        <w:t>人</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占</w:t>
      </w:r>
      <w:r>
        <w:rPr>
          <w:rFonts w:hint="eastAsia" w:ascii="宋体" w:hAnsi="宋体" w:cs="宋体"/>
          <w:b w:val="0"/>
          <w:bCs w:val="0"/>
          <w:color w:val="auto"/>
          <w:kern w:val="2"/>
          <w:sz w:val="24"/>
          <w:szCs w:val="24"/>
          <w:highlight w:val="none"/>
          <w:lang w:val="en-US" w:eastAsia="zh-CN" w:bidi="ar-SA"/>
        </w:rPr>
        <w:t>16.88</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其他未定级教师24人</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占</w:t>
      </w:r>
      <w:r>
        <w:rPr>
          <w:rFonts w:hint="eastAsia" w:ascii="宋体" w:hAnsi="宋体" w:cs="宋体"/>
          <w:b w:val="0"/>
          <w:bCs w:val="0"/>
          <w:color w:val="auto"/>
          <w:kern w:val="2"/>
          <w:sz w:val="24"/>
          <w:szCs w:val="24"/>
          <w:highlight w:val="none"/>
          <w:lang w:val="en-US" w:eastAsia="zh-CN" w:bidi="ar-SA"/>
        </w:rPr>
        <w:t>14.46</w:t>
      </w:r>
      <w:r>
        <w:rPr>
          <w:rFonts w:hint="eastAsia" w:ascii="宋体" w:hAnsi="宋体" w:eastAsia="宋体" w:cs="宋体"/>
          <w:b w:val="0"/>
          <w:bCs w:val="0"/>
          <w:color w:val="auto"/>
          <w:kern w:val="2"/>
          <w:sz w:val="24"/>
          <w:szCs w:val="24"/>
          <w:highlight w:val="none"/>
          <w:lang w:val="en-US" w:eastAsia="zh-CN" w:bidi="ar-SA"/>
        </w:rPr>
        <w:t>%。</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eastAsia="zh-CN"/>
        </w:rPr>
        <w:t>）“双师型”教师</w:t>
      </w:r>
      <w:r>
        <w:rPr>
          <w:rFonts w:hint="eastAsia" w:ascii="宋体" w:hAnsi="宋体" w:eastAsia="宋体" w:cs="宋体"/>
          <w:b/>
          <w:bCs w:val="0"/>
          <w:sz w:val="24"/>
          <w:szCs w:val="24"/>
          <w:lang w:val="en-US" w:eastAsia="zh-CN"/>
        </w:rPr>
        <w:t>占比高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学校共有双师型教师93人、</w:t>
      </w:r>
      <w:r>
        <w:rPr>
          <w:rFonts w:hint="eastAsia" w:ascii="宋体" w:hAnsi="宋体" w:cs="宋体"/>
          <w:b w:val="0"/>
          <w:bCs w:val="0"/>
          <w:kern w:val="2"/>
          <w:sz w:val="24"/>
          <w:szCs w:val="24"/>
          <w:highlight w:val="none"/>
          <w:lang w:val="en-US" w:eastAsia="zh-CN" w:bidi="ar-SA"/>
        </w:rPr>
        <w:t>占专任教师总数的</w:t>
      </w:r>
      <w:r>
        <w:rPr>
          <w:rFonts w:hint="eastAsia" w:ascii="宋体" w:hAnsi="宋体" w:cs="宋体"/>
          <w:b w:val="0"/>
          <w:bCs w:val="0"/>
          <w:kern w:val="2"/>
          <w:sz w:val="24"/>
          <w:szCs w:val="24"/>
          <w:lang w:val="en-US" w:eastAsia="zh-CN" w:bidi="ar-SA"/>
        </w:rPr>
        <w:t>56.02%。同时聘请了具有一线企业工作</w:t>
      </w:r>
      <w:r>
        <w:rPr>
          <w:rFonts w:hint="eastAsia" w:ascii="宋体" w:hAnsi="宋体" w:cs="宋体"/>
          <w:b w:val="0"/>
          <w:bCs w:val="0"/>
          <w:color w:val="auto"/>
          <w:kern w:val="2"/>
          <w:sz w:val="24"/>
          <w:szCs w:val="24"/>
          <w:highlight w:val="none"/>
          <w:lang w:val="en-US" w:eastAsia="zh-CN" w:bidi="ar-SA"/>
        </w:rPr>
        <w:t>经历的兼职教师70人、占42.17%，以承担B、C类课程为主；校内兼课教师31人、占18.67%，以承担A、B类课程为主。学校也有安排专任教师到企业实践锻炼，提高实践教学能力。</w:t>
      </w:r>
    </w:p>
    <w:p>
      <w:pPr>
        <w:pStyle w:val="2"/>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sz w:val="28"/>
          <w:szCs w:val="28"/>
          <w:lang w:val="en-US" w:eastAsia="zh-CN"/>
        </w:rPr>
      </w:pPr>
      <w:r>
        <w:rPr>
          <w:rFonts w:hint="eastAsia"/>
          <w:b/>
          <w:sz w:val="28"/>
          <w:szCs w:val="28"/>
          <w:lang w:val="en-US" w:eastAsia="zh-CN"/>
        </w:rPr>
        <w:t>三、适应社会需求的专业发展能力</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eastAsia="zh-CN"/>
        </w:rPr>
        <w:t>）专业与当地产业匹配度</w:t>
      </w:r>
      <w:r>
        <w:rPr>
          <w:rFonts w:hint="eastAsia" w:ascii="宋体" w:hAnsi="宋体" w:eastAsia="宋体" w:cs="宋体"/>
          <w:b/>
          <w:bCs w:val="0"/>
          <w:sz w:val="24"/>
          <w:szCs w:val="24"/>
          <w:lang w:val="en-US" w:eastAsia="zh-CN"/>
        </w:rPr>
        <w:t>较高</w:t>
      </w: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宋体" w:hAnsi="宋体" w:cs="宋体"/>
          <w:b w:val="0"/>
          <w:bCs w:val="0"/>
          <w:kern w:val="2"/>
          <w:sz w:val="24"/>
          <w:szCs w:val="24"/>
          <w:lang w:val="en-US" w:eastAsia="zh-CN" w:bidi="ar-SA"/>
        </w:rPr>
        <w:t>学校专业建设紧紧围绕国家“一带一路”建设、体育产业发展，结合云南“八大重点产业”的发展需求，设置了18个专业。其中，生物医药和大健康产业相关专业有9个、旅游文化产业相关专业有5个、信息产业相关专业有2个，共16个专业、占总专业的88.89%，与生物医药和大健康产业、旅游文化产业、信息产业对接紧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表5  学校专业与区域产业对接一览表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82"/>
        <w:gridCol w:w="3477"/>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default"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序号</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开设专业</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对接云南八大重点产业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1</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体育教育</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生物医药和大健康产业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2</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民族传统体育</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生物医药和大健康产业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3</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健身指导与管理</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生物医药和大健康产业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4</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康复治疗技术</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生物医药和大健康产业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5</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体育保健与康复</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生物医药和大健康产业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6</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高尔夫球运动与管理</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生物医药和大健康产业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7</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社会体育</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生物医药和大健康产业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8</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体育运营与管理</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生物医药和大健康产业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9</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运动训练</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生物医药和大健康产业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10</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旅游管理</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旅游文化产业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11</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体育艺术表演</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旅游文化产业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12</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舞蹈表演</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旅游文化产业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13</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休闲体育</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旅游文化产业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14</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休闲服务与管理</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旅游文化产业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15</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经济信息管理</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信息产业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16</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电子信息工程技术</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信息产业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17</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新闻采编与制作</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89"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18</w:t>
            </w:r>
          </w:p>
        </w:tc>
        <w:tc>
          <w:tcPr>
            <w:tcW w:w="2086"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园艺技术</w:t>
            </w:r>
          </w:p>
        </w:tc>
        <w:tc>
          <w:tcPr>
            <w:tcW w:w="2024" w:type="pct"/>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其他</w:t>
            </w:r>
          </w:p>
        </w:tc>
      </w:tr>
    </w:tbl>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eastAsia="zh-CN"/>
        </w:rPr>
        <w:t>）专业点学生分布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校开设的18个招生专业包括了教育与体育大类、旅游大类等8个专业大类的9个专业中类，在校生4570人。其中，教育与体育大类有10个专业，在校生为3235人（教育类1542人、体育类1693人）、占70.79%；旅游大类有2个专业，在校生为213人、占4.66%；其余的6个专业分布在医药卫生大类、电子信息大类、财经商贸大类、新闻传播大类、农林牧渔大类、文化艺术大类共6个专业大类，且1个专业大类开设1个专业，在校生为1122人、占24.55%。</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表6  专业布点及学生分布情况</w:t>
      </w:r>
    </w:p>
    <w:tbl>
      <w:tblPr>
        <w:tblStyle w:val="7"/>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65"/>
        <w:gridCol w:w="1740"/>
        <w:gridCol w:w="2040"/>
        <w:gridCol w:w="990"/>
        <w:gridCol w:w="121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1765" w:type="dxa"/>
            <w:shd w:val="clear" w:color="auto" w:fill="auto"/>
            <w:noWrap/>
            <w:tcMar>
              <w:top w:w="15" w:type="dxa"/>
              <w:left w:w="15" w:type="dxa"/>
              <w:right w:w="15" w:type="dxa"/>
            </w:tcMar>
            <w:vAlign w:val="center"/>
          </w:tcPr>
          <w:p>
            <w:pPr>
              <w:rPr>
                <w:rFonts w:hint="eastAsia"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专业大类</w:t>
            </w:r>
          </w:p>
        </w:tc>
        <w:tc>
          <w:tcPr>
            <w:tcW w:w="1740" w:type="dxa"/>
            <w:shd w:val="clear" w:color="auto" w:fill="auto"/>
            <w:noWrap/>
            <w:tcMar>
              <w:top w:w="15" w:type="dxa"/>
              <w:left w:w="15" w:type="dxa"/>
              <w:right w:w="15" w:type="dxa"/>
            </w:tcMar>
            <w:vAlign w:val="center"/>
          </w:tcPr>
          <w:p>
            <w:pPr>
              <w:rPr>
                <w:rFonts w:hint="eastAsia"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专业中类</w:t>
            </w: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专业</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专业代码</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在校生数</w:t>
            </w:r>
          </w:p>
        </w:tc>
        <w:tc>
          <w:tcPr>
            <w:tcW w:w="1050"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vMerge w:val="restart"/>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r>
              <w:rPr>
                <w:rStyle w:val="10"/>
                <w:rFonts w:hint="eastAsia" w:ascii="宋体" w:hAnsi="宋体" w:eastAsia="宋体" w:cs="宋体"/>
                <w:sz w:val="21"/>
                <w:szCs w:val="21"/>
                <w:lang w:val="en-US" w:eastAsia="zh-CN" w:bidi="ar"/>
              </w:rPr>
              <w:t>教育与体育大类</w:t>
            </w:r>
          </w:p>
        </w:tc>
        <w:tc>
          <w:tcPr>
            <w:tcW w:w="17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6701</w:t>
            </w:r>
            <w:r>
              <w:rPr>
                <w:rStyle w:val="10"/>
                <w:rFonts w:hint="eastAsia" w:ascii="宋体" w:hAnsi="宋体" w:eastAsia="宋体" w:cs="宋体"/>
                <w:sz w:val="21"/>
                <w:szCs w:val="21"/>
                <w:lang w:val="en-US" w:eastAsia="zh-CN" w:bidi="ar"/>
              </w:rPr>
              <w:t>教育类</w:t>
            </w: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体育教育</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670114K</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1542</w:t>
            </w:r>
          </w:p>
        </w:tc>
        <w:tc>
          <w:tcPr>
            <w:tcW w:w="1050"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1740" w:type="dxa"/>
            <w:vMerge w:val="restart"/>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6704</w:t>
            </w:r>
            <w:r>
              <w:rPr>
                <w:rStyle w:val="10"/>
                <w:rFonts w:hint="eastAsia" w:ascii="宋体" w:hAnsi="宋体" w:eastAsia="宋体" w:cs="宋体"/>
                <w:sz w:val="21"/>
                <w:szCs w:val="21"/>
                <w:lang w:val="en-US" w:eastAsia="zh-CN" w:bidi="ar"/>
              </w:rPr>
              <w:t>体育类</w:t>
            </w: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健身指导与管理</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670410</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311</w:t>
            </w:r>
          </w:p>
        </w:tc>
        <w:tc>
          <w:tcPr>
            <w:tcW w:w="1050"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1740"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民族传统体育</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670406</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1050"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1740"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社会体育</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670403</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132</w:t>
            </w:r>
          </w:p>
        </w:tc>
        <w:tc>
          <w:tcPr>
            <w:tcW w:w="1050"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1740"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休闲体育</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670404</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50"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1740"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体育运营与管理</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670408</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050"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1740"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体育艺术表演</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670407</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50"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1740"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运动训练</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670401</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1064</w:t>
            </w:r>
          </w:p>
        </w:tc>
        <w:tc>
          <w:tcPr>
            <w:tcW w:w="1050"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1740"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高尔夫球运动与管理</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670405</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50"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1740"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体育保健与康复</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670409</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116</w:t>
            </w:r>
          </w:p>
        </w:tc>
        <w:tc>
          <w:tcPr>
            <w:tcW w:w="1050"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vMerge w:val="restart"/>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r>
              <w:rPr>
                <w:rStyle w:val="10"/>
                <w:rFonts w:hint="eastAsia" w:ascii="宋体" w:hAnsi="宋体" w:eastAsia="宋体" w:cs="宋体"/>
                <w:sz w:val="21"/>
                <w:szCs w:val="21"/>
                <w:lang w:val="en-US" w:eastAsia="zh-CN" w:bidi="ar"/>
              </w:rPr>
              <w:t>旅游大类</w:t>
            </w:r>
          </w:p>
        </w:tc>
        <w:tc>
          <w:tcPr>
            <w:tcW w:w="1740" w:type="dxa"/>
            <w:vMerge w:val="restart"/>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6401</w:t>
            </w:r>
            <w:r>
              <w:rPr>
                <w:rStyle w:val="10"/>
                <w:rFonts w:hint="eastAsia" w:ascii="宋体" w:hAnsi="宋体" w:eastAsia="宋体" w:cs="宋体"/>
                <w:sz w:val="21"/>
                <w:szCs w:val="21"/>
                <w:lang w:val="en-US" w:eastAsia="zh-CN" w:bidi="ar"/>
              </w:rPr>
              <w:t>旅游类</w:t>
            </w: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旅游管理</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640101</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w:t>
            </w:r>
          </w:p>
        </w:tc>
        <w:tc>
          <w:tcPr>
            <w:tcW w:w="1050"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1740" w:type="dxa"/>
            <w:vMerge w:val="continue"/>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休闲服务与管理</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640106</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55</w:t>
            </w:r>
          </w:p>
        </w:tc>
        <w:tc>
          <w:tcPr>
            <w:tcW w:w="1050"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62</w:t>
            </w:r>
            <w:r>
              <w:rPr>
                <w:rStyle w:val="10"/>
                <w:rFonts w:hint="eastAsia" w:ascii="宋体" w:hAnsi="宋体" w:eastAsia="宋体" w:cs="宋体"/>
                <w:sz w:val="21"/>
                <w:szCs w:val="21"/>
                <w:lang w:val="en-US" w:eastAsia="zh-CN" w:bidi="ar"/>
              </w:rPr>
              <w:t>医药卫生大类</w:t>
            </w:r>
          </w:p>
        </w:tc>
        <w:tc>
          <w:tcPr>
            <w:tcW w:w="17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6204</w:t>
            </w:r>
            <w:r>
              <w:rPr>
                <w:rStyle w:val="10"/>
                <w:rFonts w:hint="eastAsia" w:ascii="宋体" w:hAnsi="宋体" w:eastAsia="宋体" w:cs="宋体"/>
                <w:sz w:val="21"/>
                <w:szCs w:val="21"/>
                <w:lang w:val="en-US" w:eastAsia="zh-CN" w:bidi="ar"/>
              </w:rPr>
              <w:t>医学技术类</w:t>
            </w: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康复治疗技术</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620501</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488</w:t>
            </w:r>
          </w:p>
        </w:tc>
        <w:tc>
          <w:tcPr>
            <w:tcW w:w="1050"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61</w:t>
            </w:r>
            <w:r>
              <w:rPr>
                <w:rStyle w:val="10"/>
                <w:rFonts w:hint="eastAsia" w:ascii="宋体" w:hAnsi="宋体" w:eastAsia="宋体" w:cs="宋体"/>
                <w:sz w:val="21"/>
                <w:szCs w:val="21"/>
                <w:lang w:val="en-US" w:eastAsia="zh-CN" w:bidi="ar"/>
              </w:rPr>
              <w:t>电子信息大类</w:t>
            </w:r>
          </w:p>
        </w:tc>
        <w:tc>
          <w:tcPr>
            <w:tcW w:w="17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6101</w:t>
            </w:r>
            <w:r>
              <w:rPr>
                <w:rStyle w:val="10"/>
                <w:rFonts w:hint="eastAsia" w:ascii="宋体" w:hAnsi="宋体" w:eastAsia="宋体" w:cs="宋体"/>
                <w:sz w:val="21"/>
                <w:szCs w:val="21"/>
                <w:lang w:val="en-US" w:eastAsia="zh-CN" w:bidi="ar"/>
              </w:rPr>
              <w:t>电子信息类</w:t>
            </w: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电子信息工程技术</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610101</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230</w:t>
            </w:r>
          </w:p>
        </w:tc>
        <w:tc>
          <w:tcPr>
            <w:tcW w:w="1050"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63</w:t>
            </w:r>
            <w:r>
              <w:rPr>
                <w:rStyle w:val="10"/>
                <w:rFonts w:hint="eastAsia" w:ascii="宋体" w:hAnsi="宋体" w:eastAsia="宋体" w:cs="宋体"/>
                <w:sz w:val="21"/>
                <w:szCs w:val="21"/>
                <w:lang w:val="en-US" w:eastAsia="zh-CN" w:bidi="ar"/>
              </w:rPr>
              <w:t>财经商贸大类</w:t>
            </w:r>
          </w:p>
        </w:tc>
        <w:tc>
          <w:tcPr>
            <w:tcW w:w="17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6302</w:t>
            </w:r>
            <w:r>
              <w:rPr>
                <w:rStyle w:val="10"/>
                <w:rFonts w:hint="eastAsia" w:ascii="宋体" w:hAnsi="宋体" w:eastAsia="宋体" w:cs="宋体"/>
                <w:sz w:val="21"/>
                <w:szCs w:val="21"/>
                <w:lang w:val="en-US" w:eastAsia="zh-CN" w:bidi="ar"/>
              </w:rPr>
              <w:t>金融类</w:t>
            </w: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经济信息管理</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630505</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162</w:t>
            </w:r>
          </w:p>
        </w:tc>
        <w:tc>
          <w:tcPr>
            <w:tcW w:w="1050"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r>
              <w:rPr>
                <w:rStyle w:val="10"/>
                <w:rFonts w:hint="eastAsia" w:ascii="宋体" w:hAnsi="宋体" w:eastAsia="宋体" w:cs="宋体"/>
                <w:sz w:val="21"/>
                <w:szCs w:val="21"/>
                <w:lang w:val="en-US" w:eastAsia="zh-CN" w:bidi="ar"/>
              </w:rPr>
              <w:t>新闻传播大类</w:t>
            </w:r>
          </w:p>
        </w:tc>
        <w:tc>
          <w:tcPr>
            <w:tcW w:w="17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6602</w:t>
            </w:r>
            <w:r>
              <w:rPr>
                <w:rStyle w:val="10"/>
                <w:rFonts w:hint="eastAsia" w:ascii="宋体" w:hAnsi="宋体" w:eastAsia="宋体" w:cs="宋体"/>
                <w:sz w:val="21"/>
                <w:szCs w:val="21"/>
                <w:lang w:val="en-US" w:eastAsia="zh-CN" w:bidi="ar"/>
              </w:rPr>
              <w:t>广播影视类</w:t>
            </w: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新闻采编与制作</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660201</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162</w:t>
            </w:r>
          </w:p>
        </w:tc>
        <w:tc>
          <w:tcPr>
            <w:tcW w:w="1050"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r>
              <w:rPr>
                <w:rStyle w:val="10"/>
                <w:rFonts w:hint="eastAsia" w:ascii="宋体" w:hAnsi="宋体" w:eastAsia="宋体" w:cs="宋体"/>
                <w:sz w:val="21"/>
                <w:szCs w:val="21"/>
                <w:lang w:val="en-US" w:eastAsia="zh-CN" w:bidi="ar"/>
              </w:rPr>
              <w:t>农林牧渔大类</w:t>
            </w:r>
          </w:p>
        </w:tc>
        <w:tc>
          <w:tcPr>
            <w:tcW w:w="17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5101</w:t>
            </w:r>
            <w:r>
              <w:rPr>
                <w:rStyle w:val="10"/>
                <w:rFonts w:hint="eastAsia" w:ascii="宋体" w:hAnsi="宋体" w:eastAsia="宋体" w:cs="宋体"/>
                <w:sz w:val="21"/>
                <w:szCs w:val="21"/>
                <w:lang w:val="en-US" w:eastAsia="zh-CN" w:bidi="ar"/>
              </w:rPr>
              <w:t>农业类</w:t>
            </w: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园艺技术</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510107</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1050"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65"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65</w:t>
            </w:r>
            <w:r>
              <w:rPr>
                <w:rStyle w:val="10"/>
                <w:rFonts w:hint="eastAsia" w:ascii="宋体" w:hAnsi="宋体" w:eastAsia="宋体" w:cs="宋体"/>
                <w:sz w:val="21"/>
                <w:szCs w:val="21"/>
                <w:lang w:val="en-US" w:eastAsia="zh-CN" w:bidi="ar"/>
              </w:rPr>
              <w:t>文化艺术大类</w:t>
            </w:r>
          </w:p>
        </w:tc>
        <w:tc>
          <w:tcPr>
            <w:tcW w:w="17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6502</w:t>
            </w:r>
            <w:r>
              <w:rPr>
                <w:rStyle w:val="10"/>
                <w:rFonts w:hint="eastAsia" w:ascii="宋体" w:hAnsi="宋体" w:eastAsia="宋体" w:cs="宋体"/>
                <w:sz w:val="21"/>
                <w:szCs w:val="21"/>
                <w:lang w:val="en-US" w:eastAsia="zh-CN" w:bidi="ar"/>
              </w:rPr>
              <w:t>表演艺术类</w:t>
            </w:r>
          </w:p>
        </w:tc>
        <w:tc>
          <w:tcPr>
            <w:tcW w:w="204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舞蹈表演</w:t>
            </w:r>
          </w:p>
        </w:tc>
        <w:tc>
          <w:tcPr>
            <w:tcW w:w="990" w:type="dxa"/>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650207</w:t>
            </w:r>
          </w:p>
        </w:tc>
        <w:tc>
          <w:tcPr>
            <w:tcW w:w="1215"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21</w:t>
            </w:r>
          </w:p>
        </w:tc>
        <w:tc>
          <w:tcPr>
            <w:tcW w:w="1050" w:type="dxa"/>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在校生人数超过200人的有4个专业大类，其中，教育与体育大类是专业和学生人数最多的，其次是医药卫生大类、电子信息大类、旅游大类。文化艺术大类（舞蹈表演）和农林牧渔大类（园艺技术）学生分布最少，不足百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b w:val="0"/>
          <w:bCs w:val="0"/>
          <w:kern w:val="2"/>
          <w:sz w:val="24"/>
          <w:szCs w:val="24"/>
          <w:lang w:val="en-US" w:eastAsia="zh-CN" w:bidi="ar-SA"/>
        </w:rPr>
      </w:pPr>
      <w:r>
        <w:drawing>
          <wp:inline distT="0" distB="0" distL="114300" distR="114300">
            <wp:extent cx="4971415" cy="3362960"/>
            <wp:effectExtent l="4445" t="4445" r="15240"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图3  学生分布情况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涉体专业10个、占55.56%，在校生3235人、占70.79%；非涉体专业8个、占44.44%，在校生1335人、占29.21%。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eastAsiaTheme="minorEastAsia"/>
          <w:b w:val="0"/>
          <w:bCs w:val="0"/>
          <w:kern w:val="2"/>
          <w:sz w:val="24"/>
          <w:szCs w:val="24"/>
          <w:lang w:val="en-US" w:eastAsia="zh-CN" w:bidi="ar-SA"/>
        </w:rPr>
      </w:pPr>
      <w:r>
        <w:drawing>
          <wp:inline distT="0" distB="0" distL="114300" distR="114300">
            <wp:extent cx="1943735" cy="1838960"/>
            <wp:effectExtent l="4445" t="4445" r="13970" b="234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lang w:val="en-US" w:eastAsia="zh-CN"/>
        </w:rPr>
        <w:t xml:space="preserve">       </w:t>
      </w:r>
      <w:r>
        <w:drawing>
          <wp:inline distT="0" distB="0" distL="114300" distR="114300">
            <wp:extent cx="1782445" cy="1810385"/>
            <wp:effectExtent l="4445" t="4445" r="22860" b="1397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图4  专业点学生分布比例</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eastAsia="zh-CN"/>
        </w:rPr>
        <w:t>）专业教学安排</w:t>
      </w:r>
      <w:r>
        <w:rPr>
          <w:rFonts w:hint="eastAsia" w:ascii="宋体" w:hAnsi="宋体" w:eastAsia="宋体" w:cs="宋体"/>
          <w:b/>
          <w:bCs w:val="0"/>
          <w:sz w:val="24"/>
          <w:szCs w:val="24"/>
          <w:lang w:val="en-US" w:eastAsia="zh-CN"/>
        </w:rPr>
        <w:t>合理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1、课程开设结构合理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2019学年，学校共开设课程523门，其中A类课程94门、占课程总数的17.97%；B类课程228门、占43.59%；C类课程201门、占38.43%。学校共有省级以上精品课程9门。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2、课时安排契合技能人才培养需求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color w:val="auto"/>
          <w:kern w:val="2"/>
          <w:sz w:val="24"/>
          <w:szCs w:val="24"/>
          <w:highlight w:val="none"/>
          <w:lang w:val="en-US" w:eastAsia="zh-CN" w:bidi="ar-SA"/>
        </w:rPr>
        <w:t>学校现开设课程由公共基础课、专业必修课、专业选修课、实践性教学课和实习组成。专业总学时约为2500学时，公共</w:t>
      </w:r>
      <w:r>
        <w:rPr>
          <w:rFonts w:hint="eastAsia" w:ascii="宋体" w:hAnsi="宋体" w:eastAsia="宋体" w:cs="宋体"/>
          <w:b w:val="0"/>
          <w:bCs w:val="0"/>
          <w:kern w:val="2"/>
          <w:sz w:val="24"/>
          <w:szCs w:val="24"/>
          <w:lang w:val="en-US" w:eastAsia="zh-CN" w:bidi="ar-SA"/>
        </w:rPr>
        <w:t>基础课学时约占15.2%，专业技能课学时约占45.6%，实践性教学课时约占50.6%。着重强调学生专业技能教学和实践学习，符合高职教学特征，注重培养技术技能型人才。</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eastAsia="zh-CN"/>
        </w:rPr>
        <w:t>）校内外实习实训基地</w:t>
      </w:r>
      <w:r>
        <w:rPr>
          <w:rFonts w:hint="eastAsia" w:ascii="宋体" w:hAnsi="宋体" w:eastAsia="宋体" w:cs="宋体"/>
          <w:b/>
          <w:bCs w:val="0"/>
          <w:sz w:val="24"/>
          <w:szCs w:val="24"/>
          <w:lang w:val="en-US" w:eastAsia="zh-CN"/>
        </w:rPr>
        <w:t>满足实践教学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为满足学生的实习实训需求，学校与43家相关行业、企业建立了良好的合作关系，建成了长期、稳定的实习实训基地。2019年底，学校共有校外实习实训基地46个，学生在校外实习实训基地学时总量为</w:t>
      </w:r>
      <w:r>
        <w:rPr>
          <w:rFonts w:hint="eastAsia" w:ascii="宋体" w:hAnsi="宋体" w:eastAsia="宋体" w:cs="宋体"/>
          <w:b w:val="0"/>
          <w:bCs w:val="0"/>
          <w:kern w:val="2"/>
          <w:sz w:val="24"/>
          <w:szCs w:val="24"/>
          <w:highlight w:val="none"/>
          <w:lang w:val="en-US" w:eastAsia="zh-CN" w:bidi="ar-SA"/>
        </w:rPr>
        <w:t>1104706人日，年生均241日（约8个月）。</w:t>
      </w:r>
      <w:r>
        <w:rPr>
          <w:rFonts w:hint="eastAsia" w:ascii="宋体" w:hAnsi="宋体" w:eastAsia="宋体" w:cs="宋体"/>
          <w:b w:val="0"/>
          <w:bCs w:val="0"/>
          <w:color w:val="auto"/>
          <w:kern w:val="2"/>
          <w:sz w:val="24"/>
          <w:szCs w:val="24"/>
          <w:lang w:val="en-US" w:eastAsia="zh-CN" w:bidi="ar-SA"/>
        </w:rPr>
        <w:t>校内实习实训基地</w:t>
      </w:r>
      <w:r>
        <w:rPr>
          <w:rFonts w:hint="eastAsia" w:ascii="宋体" w:hAnsi="宋体" w:eastAsia="宋体" w:cs="宋体"/>
          <w:b w:val="0"/>
          <w:bCs w:val="0"/>
          <w:color w:val="auto"/>
          <w:kern w:val="2"/>
          <w:sz w:val="24"/>
          <w:szCs w:val="24"/>
          <w:highlight w:val="none"/>
          <w:lang w:val="en-US" w:eastAsia="zh-CN" w:bidi="ar-SA"/>
        </w:rPr>
        <w:t>36个。</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eastAsia="zh-CN"/>
        </w:rPr>
        <w:t>）企业订单学生所占比例</w:t>
      </w:r>
      <w:r>
        <w:rPr>
          <w:rFonts w:hint="eastAsia" w:ascii="宋体" w:hAnsi="宋体" w:eastAsia="宋体" w:cs="宋体"/>
          <w:b/>
          <w:bCs w:val="0"/>
          <w:sz w:val="24"/>
          <w:szCs w:val="24"/>
          <w:lang w:val="en-US" w:eastAsia="zh-CN"/>
        </w:rPr>
        <w:t>不高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校现有企业订单专业6个，占招生专业总数的33.33%，主要集中在高尔夫球运动与管理、园艺技术、健身指导与管理、运动训练、新闻采编与制作、体育教育等专业。截至2019年底，共有企业订单学生323人、占订单专业在校生总数的10.26%，占全校在校生总数的7.07%。校企深度融合状态下的订单培养前期已经形成了一批优秀成果，但是，目前订单专业覆盖面仍不足，订单企业量不够，订单人数较少，下一步需多方面拓展合作渠道，增加订单专业招生，提高学校订单人才培养质量。</w:t>
      </w:r>
    </w:p>
    <w:tbl>
      <w:tblPr>
        <w:tblStyle w:val="7"/>
        <w:tblpPr w:leftFromText="180" w:rightFromText="180" w:vertAnchor="text" w:horzAnchor="page" w:tblpX="1816" w:tblpY="48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80"/>
        <w:gridCol w:w="2340"/>
        <w:gridCol w:w="1605"/>
        <w:gridCol w:w="1620"/>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528"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序号</w:t>
            </w:r>
          </w:p>
        </w:tc>
        <w:tc>
          <w:tcPr>
            <w:tcW w:w="1404"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963"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在校生数</w:t>
            </w:r>
          </w:p>
        </w:tc>
        <w:tc>
          <w:tcPr>
            <w:tcW w:w="972"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其中：企业订单学生数</w:t>
            </w:r>
          </w:p>
        </w:tc>
        <w:tc>
          <w:tcPr>
            <w:tcW w:w="1131"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订单学生比例（%）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528"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404" w:type="pct"/>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高尔夫球运动与管理</w:t>
            </w:r>
          </w:p>
        </w:tc>
        <w:tc>
          <w:tcPr>
            <w:tcW w:w="963"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72"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31"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528"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404" w:type="pct"/>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园艺技术</w:t>
            </w:r>
          </w:p>
        </w:tc>
        <w:tc>
          <w:tcPr>
            <w:tcW w:w="963"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972"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1131"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528"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404" w:type="pct"/>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健身指导与管理</w:t>
            </w:r>
          </w:p>
        </w:tc>
        <w:tc>
          <w:tcPr>
            <w:tcW w:w="963"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311</w:t>
            </w:r>
          </w:p>
        </w:tc>
        <w:tc>
          <w:tcPr>
            <w:tcW w:w="972"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131"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528"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404" w:type="pct"/>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运动训练</w:t>
            </w:r>
          </w:p>
        </w:tc>
        <w:tc>
          <w:tcPr>
            <w:tcW w:w="963"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1064</w:t>
            </w:r>
          </w:p>
        </w:tc>
        <w:tc>
          <w:tcPr>
            <w:tcW w:w="972"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w:t>
            </w:r>
          </w:p>
        </w:tc>
        <w:tc>
          <w:tcPr>
            <w:tcW w:w="1131"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528"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404" w:type="pct"/>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新闻采编与制作</w:t>
            </w:r>
          </w:p>
        </w:tc>
        <w:tc>
          <w:tcPr>
            <w:tcW w:w="963"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w:t>
            </w:r>
          </w:p>
        </w:tc>
        <w:tc>
          <w:tcPr>
            <w:tcW w:w="972"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131"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528"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404" w:type="pct"/>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体育教育</w:t>
            </w:r>
          </w:p>
        </w:tc>
        <w:tc>
          <w:tcPr>
            <w:tcW w:w="963"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1542</w:t>
            </w:r>
          </w:p>
        </w:tc>
        <w:tc>
          <w:tcPr>
            <w:tcW w:w="972"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w:t>
            </w:r>
          </w:p>
        </w:tc>
        <w:tc>
          <w:tcPr>
            <w:tcW w:w="1131"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528"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p>
        </w:tc>
        <w:tc>
          <w:tcPr>
            <w:tcW w:w="1404" w:type="pct"/>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小计</w:t>
            </w:r>
          </w:p>
        </w:tc>
        <w:tc>
          <w:tcPr>
            <w:tcW w:w="963"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3148</w:t>
            </w:r>
          </w:p>
        </w:tc>
        <w:tc>
          <w:tcPr>
            <w:tcW w:w="972"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323</w:t>
            </w:r>
          </w:p>
        </w:tc>
        <w:tc>
          <w:tcPr>
            <w:tcW w:w="1131"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10.26</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表7  企业订单学生比例（单位：人）</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lang w:eastAsia="zh-CN"/>
        </w:rPr>
        <w:t>）年支付企业兼职教师课酬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学校现有来自企业一线的兼职教师</w:t>
      </w:r>
      <w:r>
        <w:rPr>
          <w:rFonts w:hint="eastAsia" w:ascii="宋体" w:hAnsi="宋体" w:eastAsia="宋体" w:cs="宋体"/>
          <w:b w:val="0"/>
          <w:bCs w:val="0"/>
          <w:color w:val="auto"/>
          <w:kern w:val="2"/>
          <w:sz w:val="24"/>
          <w:szCs w:val="24"/>
          <w:highlight w:val="none"/>
          <w:lang w:val="en-US" w:eastAsia="zh-CN" w:bidi="ar-SA"/>
        </w:rPr>
        <w:t>147</w:t>
      </w:r>
      <w:r>
        <w:rPr>
          <w:rFonts w:hint="eastAsia" w:ascii="宋体" w:hAnsi="宋体" w:eastAsia="宋体" w:cs="宋体"/>
          <w:b w:val="0"/>
          <w:bCs w:val="0"/>
          <w:kern w:val="2"/>
          <w:sz w:val="24"/>
          <w:szCs w:val="24"/>
          <w:lang w:val="en-US" w:eastAsia="zh-CN" w:bidi="ar-SA"/>
        </w:rPr>
        <w:t>人，占折合教师总数的47.12%，主要承担相关课程的实践教学任务，以B、C类课程为主，年均企业兼职教师授课课时量为9600个课时。近3年，学校支付企业兼职教师课酬总额呈倍数增长，2018年为110.52万元、是2017年（55.69万元）的两倍，2019年为149.8万元、约是2017年的三倍。这是深化产教融合的直接体现，同时为保障兼职教师教学质量，学校建立了完善的兼职教师管理的相关制度，满足了实践教学需求，优化师资类型与结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表8  2017-2019年学校支付企业兼职教师课酬情况（单位：万元）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支付企业兼职教师课酬总额</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2017年</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2018年</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lang w:val="en-US" w:eastAsia="zh-CN" w:bidi="ar-SA"/>
              </w:rPr>
              <w:t>55.69</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lang w:val="en-US" w:eastAsia="zh-CN" w:bidi="ar-SA"/>
              </w:rPr>
              <w:t>110.52</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lang w:val="en-US" w:eastAsia="zh-CN" w:bidi="ar-SA"/>
              </w:rPr>
              <w:t>149.8</w:t>
            </w:r>
          </w:p>
        </w:tc>
      </w:tr>
    </w:tbl>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eastAsia="zh-CN"/>
        </w:rPr>
        <w:t>）企业提供的校内实践教学设备值</w:t>
      </w:r>
      <w:r>
        <w:rPr>
          <w:rFonts w:hint="eastAsia" w:ascii="宋体" w:hAnsi="宋体" w:eastAsia="宋体" w:cs="宋体"/>
          <w:b/>
          <w:bCs w:val="0"/>
          <w:sz w:val="24"/>
          <w:szCs w:val="24"/>
          <w:lang w:val="en-US" w:eastAsia="zh-CN"/>
        </w:rPr>
        <w:t>大幅增长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sz w:val="24"/>
        </w:rPr>
        <mc:AlternateContent>
          <mc:Choice Requires="wps">
            <w:drawing>
              <wp:anchor distT="0" distB="0" distL="114300" distR="114300" simplePos="0" relativeHeight="251881472" behindDoc="1" locked="0" layoutInCell="1" allowOverlap="1">
                <wp:simplePos x="0" y="0"/>
                <wp:positionH relativeFrom="column">
                  <wp:posOffset>-277495</wp:posOffset>
                </wp:positionH>
                <wp:positionV relativeFrom="paragraph">
                  <wp:posOffset>1158240</wp:posOffset>
                </wp:positionV>
                <wp:extent cx="5705475" cy="3689350"/>
                <wp:effectExtent l="6350" t="6350" r="22225" b="19050"/>
                <wp:wrapNone/>
                <wp:docPr id="23" name="矩形 23"/>
                <wp:cNvGraphicFramePr/>
                <a:graphic xmlns:a="http://schemas.openxmlformats.org/drawingml/2006/main">
                  <a:graphicData uri="http://schemas.microsoft.com/office/word/2010/wordprocessingShape">
                    <wps:wsp>
                      <wps:cNvSpPr/>
                      <wps:spPr>
                        <a:xfrm>
                          <a:off x="865505" y="6153150"/>
                          <a:ext cx="5705475" cy="36893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5pt;margin-top:91.2pt;height:290.5pt;width:449.25pt;z-index:-251435008;v-text-anchor:middle;mso-width-relative:page;mso-height-relative:page;" fillcolor="#DEEBF7 [660]" filled="t" stroked="t" coordsize="21600,21600" o:gfxdata="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FVxeTLaAAAACwEAAA8AAAAAAAAAAQAgAAAAIgAAAGRycy9kb3ducmV2Lnht&#10;bFBLAQIUABQAAAAIAIdO4kDzJnhJogIAAFwFAAAOAAAAAAAAAAEAIAAAACkBAABkcnMvZTJvRG9j&#10;LnhtbFBLBQYAAAAABgAGAFkBAAA9BgAAAAA=&#10;">
                <v:fill on="t" focussize="0,0"/>
                <v:stroke weight="1pt" color="#41719C [3204]" miterlimit="8" joinstyle="miter"/>
                <v:imagedata o:title=""/>
                <o:lock v:ext="edit" aspectratio="f"/>
              </v:rect>
            </w:pict>
          </mc:Fallback>
        </mc:AlternateContent>
      </w:r>
      <w:r>
        <w:rPr>
          <w:rFonts w:hint="eastAsia" w:ascii="宋体" w:hAnsi="宋体" w:eastAsia="宋体" w:cs="宋体"/>
          <w:b w:val="0"/>
          <w:bCs w:val="0"/>
          <w:kern w:val="2"/>
          <w:sz w:val="24"/>
          <w:szCs w:val="24"/>
          <w:lang w:val="en-US" w:eastAsia="zh-CN" w:bidi="ar-SA"/>
        </w:rPr>
        <w:t>2017-2019年，企业提供的校内实践教学设备值分别为90.5万元、81.2万元、200.5万元，呈上升趋势，且2019年是前两年均值的两倍增加，说明学校高度重视校企合作，建立了较为完善的校企合作机制，校企合作呈纵深发展，产学研结合得以重视和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案例1：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校企合作取得重大成果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我校与中国民航局指定云南省民用无人机驾驶员考试中心达成战略合作，将云南省无人机执照考试点设于本校，拥有由中国人民解放军空军95429部队参谋部航管气象处审批的合法空域；其次与昆明得一航空科技有限公司签订校企合作协议，由该企业向中国航空器拥有者及驾驶员协会（中国AOPA）申请，并通过AOPA无人机驾驶职业教育培训中心和中国民用无人机系统工程师职教中心的审定，成为云南省首家无人机职业教育培训中心；同时该公司与北京航空航天大学云南创新研究院达成战略合作关系，借助北航研究院先进的理论与实践教学经验，和丰富的无人机后端应用技术，共同探索适用于云南省无人机应用专业培训和无人机后端应用技术，为我校无人机应用专业提供持续稳定的技术支持保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资质认定：中国航空器拥有者及驾驶员协会（中国AOPA）申请，并通过AOPA无人机驾驶职业教育培训中心和中国民用无人机系统工程师职教中心的审定。我校与昆明得一航空科</w:t>
      </w:r>
      <w:r>
        <w:rPr>
          <w:sz w:val="21"/>
        </w:rPr>
        <mc:AlternateContent>
          <mc:Choice Requires="wps">
            <w:drawing>
              <wp:anchor distT="0" distB="0" distL="114300" distR="114300" simplePos="0" relativeHeight="251881472" behindDoc="1" locked="0" layoutInCell="1" allowOverlap="1">
                <wp:simplePos x="0" y="0"/>
                <wp:positionH relativeFrom="column">
                  <wp:posOffset>-267335</wp:posOffset>
                </wp:positionH>
                <wp:positionV relativeFrom="paragraph">
                  <wp:posOffset>30480</wp:posOffset>
                </wp:positionV>
                <wp:extent cx="5694680" cy="8616950"/>
                <wp:effectExtent l="6350" t="6350" r="13970" b="6350"/>
                <wp:wrapNone/>
                <wp:docPr id="24" name="矩形 24"/>
                <wp:cNvGraphicFramePr/>
                <a:graphic xmlns:a="http://schemas.openxmlformats.org/drawingml/2006/main">
                  <a:graphicData uri="http://schemas.microsoft.com/office/word/2010/wordprocessingShape">
                    <wps:wsp>
                      <wps:cNvSpPr/>
                      <wps:spPr>
                        <a:xfrm>
                          <a:off x="922655" y="944880"/>
                          <a:ext cx="5694680" cy="86169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5pt;margin-top:2.4pt;height:678.5pt;width:448.4pt;z-index:-251435008;v-text-anchor:middle;mso-width-relative:page;mso-height-relative:page;" fillcolor="#DEEBF7 [660]" filled="t" stroked="t" coordsize="21600,21600" o:gfxdata="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DxtnvDaAAAACgEAAA8AAAAAAAAAAQAgAAAAIgAAAGRycy9kb3ducmV2LnhtbFBL&#10;AQIUABQAAAAIAIdO4kD11VZjnwIAAFsFAAAOAAAAAAAAAAEAIAAAACkBAABkcnMvZTJvRG9jLnht&#10;bFBLBQYAAAAABgAGAFkBAAA6BgAAAAA=&#10;">
                <v:fill on="t" focussize="0,0"/>
                <v:stroke weight="1pt" color="#41719C [3204]" miterlimit="8" joinstyle="miter"/>
                <v:imagedata o:title=""/>
                <o:lock v:ext="edit" aspectratio="f"/>
              </v:rect>
            </w:pict>
          </mc:Fallback>
        </mc:AlternateContent>
      </w:r>
      <w:r>
        <w:rPr>
          <w:rFonts w:hint="eastAsia" w:ascii="宋体" w:hAnsi="宋体" w:eastAsia="宋体" w:cs="宋体"/>
          <w:b w:val="0"/>
          <w:bCs w:val="0"/>
          <w:kern w:val="2"/>
          <w:sz w:val="21"/>
          <w:szCs w:val="21"/>
          <w:lang w:val="en-US" w:eastAsia="zh-CN" w:bidi="ar-SA"/>
        </w:rPr>
        <w:t>技有限公司开展校企合作，具备经验丰富的教练团队，云南体职院成为云南省第一个具备云南省民用无人机驾驶员职业教育培训及考试工作的高职院校，也是云南省唯一一个AOPA资格证书考试中心的高职院校。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空域批文：在场地方面，我校不仅有满足全国青少年无人机大赛赛场布置的场地还具备合法的空域，可以更好的满足教学以及比赛的需要。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专业建设：建立校企共建专业发展机制，不定期举办专业建设研讨会，联合企业共同探讨专业发展情况，促进专业发展更契合社会经济的需求。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我校积极与中国航空学会申请承办全国青少年无人机比赛，旨在与全国各校交流经验，相互学习促进。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lang w:val="en-US" w:eastAsia="zh-CN" w:bidi="ar-SA"/>
        </w:rPr>
      </w:pPr>
      <w:r>
        <w:drawing>
          <wp:anchor distT="0" distB="0" distL="114300" distR="114300" simplePos="0" relativeHeight="251880448" behindDoc="0" locked="0" layoutInCell="1" allowOverlap="1">
            <wp:simplePos x="0" y="0"/>
            <wp:positionH relativeFrom="column">
              <wp:posOffset>333375</wp:posOffset>
            </wp:positionH>
            <wp:positionV relativeFrom="paragraph">
              <wp:posOffset>230505</wp:posOffset>
            </wp:positionV>
            <wp:extent cx="4378960" cy="2087880"/>
            <wp:effectExtent l="0" t="0" r="2540" b="7620"/>
            <wp:wrapNone/>
            <wp:docPr id="188424" name="图片 188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4" name="图片 18842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8960" cy="2087880"/>
                    </a:xfrm>
                    <a:prstGeom prst="rect">
                      <a:avLst/>
                    </a:prstGeom>
                    <a:noFill/>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AOPA无人机驾驶职业教育培训中心资格审定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b w:val="0"/>
          <w:bCs w:val="0"/>
          <w:kern w:val="2"/>
          <w:sz w:val="21"/>
          <w:szCs w:val="21"/>
          <w:lang w:val="en-US" w:eastAsia="zh-CN" w:bidi="ar-SA"/>
        </w:rPr>
      </w:pPr>
      <w:r>
        <w:drawing>
          <wp:inline distT="0" distB="0" distL="114300" distR="114300">
            <wp:extent cx="4199255" cy="2774950"/>
            <wp:effectExtent l="0" t="0" r="10795" b="635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1" cstate="hqprint"/>
                    <a:srcRect/>
                    <a:stretch>
                      <a:fillRect/>
                    </a:stretch>
                  </pic:blipFill>
                  <pic:spPr>
                    <a:xfrm>
                      <a:off x="0" y="0"/>
                      <a:ext cx="4199255" cy="2774950"/>
                    </a:xfrm>
                    <a:prstGeom prst="rect">
                      <a:avLst/>
                    </a:prstGeom>
                    <a:noFill/>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专业建设研讨会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2"/>
          <w:sz w:val="21"/>
          <w:szCs w:val="21"/>
          <w:lang w:val="en-US" w:eastAsia="zh-CN" w:bidi="ar-SA"/>
        </w:rPr>
      </w:pP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八</w:t>
      </w:r>
      <w:r>
        <w:rPr>
          <w:rFonts w:hint="eastAsia" w:ascii="宋体" w:hAnsi="宋体" w:eastAsia="宋体" w:cs="宋体"/>
          <w:b/>
          <w:bCs w:val="0"/>
          <w:sz w:val="24"/>
          <w:szCs w:val="24"/>
          <w:lang w:eastAsia="zh-CN"/>
        </w:rPr>
        <w:t>）“1+X”试点</w:t>
      </w:r>
      <w:r>
        <w:rPr>
          <w:rFonts w:hint="eastAsia" w:ascii="宋体" w:hAnsi="宋体" w:eastAsia="宋体" w:cs="宋体"/>
          <w:b/>
          <w:bCs w:val="0"/>
          <w:sz w:val="24"/>
          <w:szCs w:val="24"/>
          <w:lang w:val="en-US" w:eastAsia="zh-CN"/>
        </w:rPr>
        <w:t>有序推进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截至2019年底，学校共有7个专业参与1+X试点，占38.89%；共有参加学生2340人，占在校生总数的51.2%。其中，涉及人数较多的专业有运动训练1064人、占试点学生总数的45.47%，康复治疗技术488人、占20.85%，电子信息工程技术220人、占9.40%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b w:val="0"/>
          <w:bCs w:val="0"/>
          <w:kern w:val="2"/>
          <w:sz w:val="24"/>
          <w:szCs w:val="24"/>
          <w:lang w:val="en-US" w:eastAsia="zh-CN" w:bidi="ar-SA"/>
        </w:rPr>
      </w:pPr>
      <w:r>
        <w:drawing>
          <wp:inline distT="0" distB="0" distL="114300" distR="114300">
            <wp:extent cx="4572000" cy="2743200"/>
            <wp:effectExtent l="4445" t="4445" r="14605" b="14605"/>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图5  参与1+X试点的专业及人数情况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b w:val="0"/>
          <w:bCs w:val="0"/>
          <w:kern w:val="2"/>
          <w:sz w:val="21"/>
          <w:szCs w:val="21"/>
          <w:lang w:val="en-US" w:eastAsia="zh-CN" w:bidi="ar-SA"/>
        </w:rPr>
      </w:pPr>
      <w:r>
        <w:rPr>
          <w:sz w:val="21"/>
        </w:rPr>
        <mc:AlternateContent>
          <mc:Choice Requires="wps">
            <w:drawing>
              <wp:anchor distT="0" distB="0" distL="114300" distR="114300" simplePos="0" relativeHeight="251756544" behindDoc="1" locked="0" layoutInCell="1" allowOverlap="1">
                <wp:simplePos x="0" y="0"/>
                <wp:positionH relativeFrom="column">
                  <wp:posOffset>-144145</wp:posOffset>
                </wp:positionH>
                <wp:positionV relativeFrom="paragraph">
                  <wp:posOffset>179070</wp:posOffset>
                </wp:positionV>
                <wp:extent cx="5781675" cy="4410710"/>
                <wp:effectExtent l="6350" t="6350" r="22225" b="21590"/>
                <wp:wrapNone/>
                <wp:docPr id="15" name="矩形 15"/>
                <wp:cNvGraphicFramePr/>
                <a:graphic xmlns:a="http://schemas.openxmlformats.org/drawingml/2006/main">
                  <a:graphicData uri="http://schemas.microsoft.com/office/word/2010/wordprocessingShape">
                    <wps:wsp>
                      <wps:cNvSpPr/>
                      <wps:spPr>
                        <a:xfrm>
                          <a:off x="998855" y="4079240"/>
                          <a:ext cx="5781675" cy="441071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5pt;margin-top:14.1pt;height:347.3pt;width:455.25pt;z-index:-251559936;v-text-anchor:middle;mso-width-relative:page;mso-height-relative:page;" fillcolor="#DEEBF7 [660]" filled="t" stroked="t" coordsize="21600,21600" o:gfxdata="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PbmPN/YAAAACgEAAA8AAAAAAAAAAQAgAAAAIgAAAGRycy9kb3ducmV2LnhtbFBL&#10;AQIUABQAAAAIAIdO4kCkfzRYoQIAAFwFAAAOAAAAAAAAAAEAIAAAACcBAABkcnMvZTJvRG9jLnht&#10;bFBLBQYAAAAABgAGAFkBAAA6BgAAAAA=&#10;">
                <v:fill on="t" focussize="0,0"/>
                <v:stroke weight="1pt" color="#41719C [3204]"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案例2：</w:t>
      </w: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“1+X”师资培训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学校承接了</w:t>
      </w:r>
      <w:r>
        <w:rPr>
          <w:rFonts w:hint="eastAsia" w:asciiTheme="minorEastAsia" w:hAnsiTheme="minorEastAsia" w:eastAsiaTheme="minorEastAsia" w:cstheme="minorEastAsia"/>
          <w:sz w:val="21"/>
          <w:szCs w:val="21"/>
        </w:rPr>
        <w:t>全国</w:t>
      </w:r>
      <w:r>
        <w:rPr>
          <w:rFonts w:hint="eastAsia" w:asciiTheme="minorEastAsia" w:hAnsiTheme="minorEastAsia" w:cstheme="minorEastAsia"/>
          <w:sz w:val="21"/>
          <w:szCs w:val="21"/>
          <w:lang w:eastAsia="zh-CN"/>
        </w:rPr>
        <w:t>的</w:t>
      </w:r>
      <w:r>
        <w:rPr>
          <w:rFonts w:hint="eastAsia" w:asciiTheme="minorEastAsia" w:hAnsiTheme="minorEastAsia" w:eastAsiaTheme="minorEastAsia" w:cstheme="minorEastAsia"/>
          <w:sz w:val="21"/>
          <w:szCs w:val="21"/>
        </w:rPr>
        <w:t>首期“1+X”无人机驾驶职业技能等级证书师资培训</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我校作为云南省牵头院校，昆明得一航空科技有限公司作为云南省牵头企业，共同承办了此次师资培训。接待了包括贵州省在内的11所“1+X”试点学校，</w:t>
      </w:r>
      <w:r>
        <w:rPr>
          <w:rFonts w:hint="eastAsia" w:asciiTheme="minorEastAsia" w:hAnsiTheme="minorEastAsia" w:cstheme="minorEastAsia"/>
          <w:sz w:val="21"/>
          <w:szCs w:val="21"/>
          <w:lang w:val="en-US" w:eastAsia="zh-CN"/>
        </w:rPr>
        <w:t>培训分为培训前期的</w:t>
      </w:r>
      <w:r>
        <w:rPr>
          <w:rFonts w:hint="eastAsia" w:asciiTheme="minorEastAsia" w:hAnsiTheme="minorEastAsia" w:eastAsiaTheme="minorEastAsia" w:cstheme="minorEastAsia"/>
          <w:sz w:val="21"/>
          <w:szCs w:val="21"/>
        </w:rPr>
        <w:t>模拟器的练习</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中后期的实际操作、培训后的考核共三个阶段。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培训初期</w:t>
      </w:r>
      <w:r>
        <w:rPr>
          <w:rFonts w:hint="eastAsia" w:asciiTheme="minorEastAsia" w:hAnsiTheme="minorEastAsia" w:cstheme="minorEastAsia"/>
          <w:sz w:val="21"/>
          <w:szCs w:val="21"/>
          <w:lang w:val="en-US" w:eastAsia="zh-CN"/>
        </w:rPr>
        <w:t>为</w:t>
      </w:r>
      <w:r>
        <w:rPr>
          <w:rFonts w:hint="eastAsia" w:asciiTheme="minorEastAsia" w:hAnsiTheme="minorEastAsia" w:eastAsiaTheme="minorEastAsia" w:cstheme="minorEastAsia"/>
          <w:sz w:val="21"/>
          <w:szCs w:val="21"/>
        </w:rPr>
        <w:t>模拟器的练习，帮助学员掌握遥控器的基本操作，通过在电脑软件中模拟实际飞行的飞行动作，以减少学员实际飞行中的“炸机”行为，优化教学设计，模拟器的运用为实际操作飞行做好充足的准备</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培训中后期的实际操作，</w:t>
      </w:r>
      <w:r>
        <w:rPr>
          <w:rFonts w:hint="eastAsia" w:asciiTheme="minorEastAsia" w:hAnsiTheme="minorEastAsia" w:eastAsiaTheme="minorEastAsia" w:cstheme="minorEastAsia"/>
          <w:sz w:val="21"/>
          <w:szCs w:val="21"/>
        </w:rPr>
        <w:t>无人机训练中最重要的环节就是来自实际操作，所以整个培训的重点放在了实践飞行中，无人机组装课、无人机系统概述、户外飞行管理、飞行操作等课程，使学生更加了解无人机的构造，理论实践操作相结合，让每个学生都了解到无人机的装配到飞行的完整操作</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培训结束的</w:t>
      </w:r>
      <w:r>
        <w:rPr>
          <w:rFonts w:hint="eastAsia" w:asciiTheme="minorEastAsia" w:hAnsiTheme="minorEastAsia" w:eastAsiaTheme="minorEastAsia" w:cstheme="minorEastAsia"/>
          <w:sz w:val="21"/>
          <w:szCs w:val="21"/>
        </w:rPr>
        <w:t>考核</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累计达到学时后，将组织学员进行理论和实操飞行的整体考核，考核通过者颁发结业证和合格证。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sz w:val="21"/>
        </w:rPr>
        <mc:AlternateContent>
          <mc:Choice Requires="wps">
            <w:drawing>
              <wp:anchor distT="0" distB="0" distL="114300" distR="114300" simplePos="0" relativeHeight="251881472" behindDoc="1" locked="0" layoutInCell="1" allowOverlap="1">
                <wp:simplePos x="0" y="0"/>
                <wp:positionH relativeFrom="column">
                  <wp:posOffset>-153670</wp:posOffset>
                </wp:positionH>
                <wp:positionV relativeFrom="paragraph">
                  <wp:posOffset>27305</wp:posOffset>
                </wp:positionV>
                <wp:extent cx="5791200" cy="8759825"/>
                <wp:effectExtent l="6350" t="6350" r="12700" b="15875"/>
                <wp:wrapNone/>
                <wp:docPr id="12" name="矩形 12"/>
                <wp:cNvGraphicFramePr/>
                <a:graphic xmlns:a="http://schemas.openxmlformats.org/drawingml/2006/main">
                  <a:graphicData uri="http://schemas.microsoft.com/office/word/2010/wordprocessingShape">
                    <wps:wsp>
                      <wps:cNvSpPr/>
                      <wps:spPr>
                        <a:xfrm>
                          <a:off x="989330" y="941705"/>
                          <a:ext cx="5791200" cy="87598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1pt;margin-top:2.15pt;height:689.75pt;width:456pt;z-index:-251435008;v-text-anchor:middle;mso-width-relative:page;mso-height-relative:page;" fillcolor="#DEEBF7 [660]" filled="t" stroked="t" coordsize="21600,21600" o:gfxdata="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KFSIB2QAAAAoBAAAPAAAAAAAAAAEAIAAAACIAAABkcnMvZG93bnJldi54bWxQ&#10;SwECFAAUAAAACACHTuJA6+BlKKECAABbBQAADgAAAAAAAAABACAAAAAoAQAAZHJzL2Uyb0RvYy54&#10;bWxQSwUGAAAAAAYABgBZAQAAOwYAAAAA&#10;">
                <v:fill on="t" focussize="0,0"/>
                <v:stroke weight="1pt" color="#41719C [3204]" miterlimit="8" joinstyle="miter"/>
                <v:imagedata o:title=""/>
                <o:lock v:ext="edit" aspectratio="f"/>
              </v:rect>
            </w:pict>
          </mc:Fallback>
        </mc:AlternateContent>
      </w:r>
      <w:r>
        <w:rPr>
          <w:rFonts w:hint="eastAsia" w:asciiTheme="minorEastAsia" w:hAnsiTheme="minorEastAsia" w:cstheme="minorEastAsia"/>
          <w:sz w:val="21"/>
          <w:szCs w:val="21"/>
          <w:lang w:val="en-US" w:eastAsia="zh-CN"/>
        </w:rPr>
        <w:t>此次培训</w:t>
      </w:r>
      <w:r>
        <w:rPr>
          <w:rFonts w:hint="eastAsia" w:asciiTheme="minorEastAsia" w:hAnsiTheme="minorEastAsia" w:eastAsiaTheme="minorEastAsia" w:cstheme="minorEastAsia"/>
          <w:sz w:val="21"/>
          <w:szCs w:val="21"/>
        </w:rPr>
        <w:t>得到了北京优云智翔和全省各高等院校老师和领导的认可和一致的好评。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3819525" cy="2433955"/>
            <wp:effectExtent l="0" t="0" r="9525" b="4445"/>
            <wp:docPr id="18" name="图片 18" descr="微信图片_2020102716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01027161705"/>
                    <pic:cNvPicPr>
                      <a:picLocks noChangeAspect="1"/>
                    </pic:cNvPicPr>
                  </pic:nvPicPr>
                  <pic:blipFill>
                    <a:blip r:embed="rId13"/>
                    <a:stretch>
                      <a:fillRect/>
                    </a:stretch>
                  </pic:blipFill>
                  <pic:spPr>
                    <a:xfrm>
                      <a:off x="0" y="0"/>
                      <a:ext cx="3819525" cy="24339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代红兵院长在首期“1+X”无人机驾驶职业技能等级证书师资培训班开班仪式上致词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3811270" cy="2619375"/>
            <wp:effectExtent l="0" t="0" r="17780" b="9525"/>
            <wp:docPr id="19" name="图片 19" descr="微信图片_2020102716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01027161833"/>
                    <pic:cNvPicPr>
                      <a:picLocks noChangeAspect="1"/>
                    </pic:cNvPicPr>
                  </pic:nvPicPr>
                  <pic:blipFill>
                    <a:blip r:embed="rId14"/>
                    <a:stretch>
                      <a:fillRect/>
                    </a:stretch>
                  </pic:blipFill>
                  <pic:spPr>
                    <a:xfrm>
                      <a:off x="0" y="0"/>
                      <a:ext cx="3811270" cy="2619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组织培训教师参加考核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heme="minorEastAsia" w:hAnsiTheme="minorEastAsia" w:cstheme="minorEastAsia"/>
          <w:sz w:val="21"/>
          <w:szCs w:val="21"/>
          <w:lang w:val="en-US" w:eastAsia="zh-CN"/>
        </w:rPr>
      </w:pPr>
      <w:r>
        <w:drawing>
          <wp:inline distT="0" distB="0" distL="114300" distR="114300">
            <wp:extent cx="3744595" cy="2233295"/>
            <wp:effectExtent l="0" t="0" r="8255" b="14605"/>
            <wp:docPr id="18944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9" name="图片 7"/>
                    <pic:cNvPicPr>
                      <a:picLocks noChangeAspect="1"/>
                    </pic:cNvPicPr>
                  </pic:nvPicPr>
                  <pic:blipFill>
                    <a:blip r:embed="rId15" cstate="hqprint"/>
                    <a:srcRect/>
                    <a:stretch>
                      <a:fillRect/>
                    </a:stretch>
                  </pic:blipFill>
                  <pic:spPr>
                    <a:xfrm>
                      <a:off x="0" y="0"/>
                      <a:ext cx="3744595" cy="2233295"/>
                    </a:xfrm>
                    <a:prstGeom prst="rect">
                      <a:avLst/>
                    </a:prstGeom>
                    <a:noFill/>
                    <a:ln w="0">
                      <a:noFill/>
                    </a:ln>
                  </pic:spPr>
                </pic:pic>
              </a:graphicData>
            </a:graphic>
          </wp:inline>
        </w:drawing>
      </w:r>
    </w:p>
    <w:p>
      <w:pPr>
        <w:pStyle w:val="2"/>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sz w:val="28"/>
          <w:szCs w:val="28"/>
          <w:lang w:val="en-US" w:eastAsia="zh-CN"/>
        </w:rPr>
      </w:pPr>
      <w:r>
        <w:rPr>
          <w:rFonts w:hint="eastAsia"/>
          <w:b/>
          <w:sz w:val="28"/>
          <w:szCs w:val="28"/>
          <w:lang w:val="en-US" w:eastAsia="zh-CN"/>
        </w:rPr>
        <w:t>四、适应社会需求的人才培养能力</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eastAsia="zh-CN"/>
        </w:rPr>
        <w:t>）招生计划完成质量</w:t>
      </w:r>
      <w:r>
        <w:rPr>
          <w:rFonts w:hint="eastAsia" w:ascii="宋体" w:hAnsi="宋体" w:eastAsia="宋体" w:cs="宋体"/>
          <w:b/>
          <w:bCs w:val="0"/>
          <w:sz w:val="24"/>
          <w:szCs w:val="24"/>
          <w:lang w:val="en-US" w:eastAsia="zh-CN"/>
        </w:rPr>
        <w:t>良好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学校2017年统招计划招生1690人，实际招生1743人，招生计划完成率103.14%；2018年计划招生1500人，实际招生1508人，招生计划完成率100.53%；2019年计划招生2000人，实际招生2013人，招生计划完成率100.65%。</w:t>
      </w:r>
      <w:r>
        <w:rPr>
          <w:rFonts w:hint="eastAsia" w:ascii="宋体" w:hAnsi="宋体" w:eastAsia="宋体" w:cs="宋体"/>
          <w:sz w:val="24"/>
          <w:szCs w:val="24"/>
          <w:highlight w:val="none"/>
          <w:lang w:val="en-US" w:eastAsia="zh-CN"/>
        </w:rPr>
        <w:t>2019年高职扩招，</w:t>
      </w:r>
      <w:r>
        <w:rPr>
          <w:rFonts w:hint="eastAsia" w:ascii="宋体" w:hAnsi="宋体" w:eastAsia="宋体" w:cs="宋体"/>
          <w:sz w:val="24"/>
          <w:szCs w:val="24"/>
          <w:highlight w:val="none"/>
        </w:rPr>
        <w:t>面向社会招生</w:t>
      </w:r>
      <w:r>
        <w:rPr>
          <w:rFonts w:hint="eastAsia" w:ascii="宋体" w:hAnsi="宋体" w:eastAsia="宋体" w:cs="宋体"/>
          <w:sz w:val="24"/>
          <w:szCs w:val="24"/>
          <w:highlight w:val="none"/>
          <w:lang w:val="en-US" w:eastAsia="zh-CN"/>
        </w:rPr>
        <w:t>计划31人，实际招生31人，扩招招生完成率100%。暂无自主招生。</w:t>
      </w:r>
      <w:r>
        <w:rPr>
          <w:rFonts w:hint="eastAsia" w:ascii="宋体" w:hAnsi="宋体" w:eastAsia="宋体" w:cs="宋体"/>
          <w:sz w:val="24"/>
          <w:szCs w:val="24"/>
          <w:lang w:val="en-US" w:eastAsia="zh-CN"/>
        </w:rPr>
        <w:t>近3年均超额完成招生计划，报到率达100%，生源数量和质量均保持在较好水平。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表9  2017-2019年招生计划完成情况</w:t>
      </w:r>
    </w:p>
    <w:tbl>
      <w:tblPr>
        <w:tblStyle w:val="7"/>
        <w:tblW w:w="7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980"/>
        <w:gridCol w:w="1980"/>
        <w:gridCol w:w="22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1980" w:type="dxa"/>
            <w:shd w:val="clear" w:color="auto" w:fill="auto"/>
            <w:noWrap/>
            <w:tcMar>
              <w:top w:w="15" w:type="dxa"/>
              <w:left w:w="15" w:type="dxa"/>
              <w:right w:w="15" w:type="dxa"/>
            </w:tcMar>
            <w:vAlign w:val="bottom"/>
          </w:tcPr>
          <w:p>
            <w:pPr>
              <w:jc w:val="center"/>
              <w:rPr>
                <w:rFonts w:hint="default"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招生情况</w:t>
            </w:r>
          </w:p>
        </w:tc>
        <w:tc>
          <w:tcPr>
            <w:tcW w:w="19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1"/>
                <w:szCs w:val="21"/>
                <w:u w:val="none"/>
                <w:lang w:val="en-US"/>
              </w:rPr>
            </w:pPr>
            <w:r>
              <w:rPr>
                <w:rFonts w:hint="eastAsia" w:ascii="宋体" w:hAnsi="宋体" w:eastAsia="宋体" w:cs="宋体"/>
                <w:b w:val="0"/>
                <w:bCs w:val="0"/>
                <w:i w:val="0"/>
                <w:color w:val="000000"/>
                <w:kern w:val="0"/>
                <w:sz w:val="21"/>
                <w:szCs w:val="21"/>
                <w:u w:val="none"/>
                <w:lang w:val="en-US" w:eastAsia="zh-CN" w:bidi="ar"/>
              </w:rPr>
              <w:t>2017年</w:t>
            </w:r>
          </w:p>
        </w:tc>
        <w:tc>
          <w:tcPr>
            <w:tcW w:w="22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1"/>
                <w:szCs w:val="21"/>
                <w:u w:val="none"/>
                <w:lang w:val="en-US"/>
              </w:rPr>
            </w:pPr>
            <w:r>
              <w:rPr>
                <w:rFonts w:hint="eastAsia" w:ascii="宋体" w:hAnsi="宋体" w:eastAsia="宋体" w:cs="宋体"/>
                <w:b w:val="0"/>
                <w:bCs w:val="0"/>
                <w:i w:val="0"/>
                <w:color w:val="000000"/>
                <w:kern w:val="0"/>
                <w:sz w:val="21"/>
                <w:szCs w:val="21"/>
                <w:u w:val="none"/>
                <w:lang w:val="en-US" w:eastAsia="zh-CN" w:bidi="ar"/>
              </w:rPr>
              <w:t>2018年</w:t>
            </w:r>
          </w:p>
        </w:tc>
        <w:tc>
          <w:tcPr>
            <w:tcW w:w="14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1"/>
                <w:szCs w:val="21"/>
                <w:u w:val="none"/>
                <w:lang w:val="en-US"/>
              </w:rPr>
            </w:pPr>
            <w:r>
              <w:rPr>
                <w:rFonts w:hint="eastAsia" w:ascii="宋体" w:hAnsi="宋体" w:eastAsia="宋体" w:cs="宋体"/>
                <w:b w:val="0"/>
                <w:bCs w:val="0"/>
                <w:i w:val="0"/>
                <w:color w:val="000000"/>
                <w:kern w:val="0"/>
                <w:sz w:val="21"/>
                <w:szCs w:val="21"/>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计划招生数</w:t>
            </w:r>
          </w:p>
        </w:tc>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1690</w:t>
            </w:r>
          </w:p>
        </w:tc>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实际招生数</w:t>
            </w:r>
          </w:p>
        </w:tc>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1743</w:t>
            </w:r>
          </w:p>
        </w:tc>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1508</w:t>
            </w:r>
          </w:p>
        </w:tc>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其中：报考数</w:t>
            </w:r>
          </w:p>
        </w:tc>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1743</w:t>
            </w:r>
          </w:p>
        </w:tc>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1508</w:t>
            </w:r>
          </w:p>
        </w:tc>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招生计划完成率</w:t>
            </w:r>
          </w:p>
        </w:tc>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103.14%</w:t>
            </w:r>
          </w:p>
        </w:tc>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100.53%</w:t>
            </w:r>
          </w:p>
        </w:tc>
        <w:tc>
          <w:tcPr>
            <w:tcW w:w="0" w:type="auto"/>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100.65%</w:t>
            </w:r>
          </w:p>
        </w:tc>
      </w:tr>
    </w:tbl>
    <w:p>
      <w:pPr>
        <w:pStyle w:val="3"/>
        <w:keepNext/>
        <w:keepLines/>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毕业生职业资格证书获取率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2017-2019年毕业生职业技能等级证书及职业资格证书获得数（中、高级）</w:t>
      </w:r>
      <w:r>
        <w:rPr>
          <w:rFonts w:hint="eastAsia" w:ascii="宋体" w:hAnsi="宋体" w:eastAsia="宋体" w:cs="宋体"/>
          <w:sz w:val="24"/>
          <w:szCs w:val="24"/>
          <w:lang w:val="en-US" w:eastAsia="zh-CN"/>
        </w:rPr>
        <w:t>分别是33个、275个、318个，</w:t>
      </w:r>
      <w:r>
        <w:rPr>
          <w:rFonts w:hint="eastAsia" w:ascii="宋体" w:hAnsi="宋体" w:eastAsia="宋体" w:cs="宋体"/>
          <w:sz w:val="24"/>
          <w:szCs w:val="24"/>
          <w:lang w:eastAsia="zh-CN"/>
        </w:rPr>
        <w:t>社会认可度高的其他证书获得数</w:t>
      </w:r>
      <w:r>
        <w:rPr>
          <w:rFonts w:hint="eastAsia" w:ascii="宋体" w:hAnsi="宋体" w:eastAsia="宋体" w:cs="宋体"/>
          <w:sz w:val="24"/>
          <w:szCs w:val="24"/>
          <w:lang w:val="en-US" w:eastAsia="zh-CN"/>
        </w:rPr>
        <w:t>分别是64个、105个、160个，学生考证以职业技能等级证书和职业资格证书为主。总体来看，近3年，毕业生总数基本稳定，但2018年起考证数量出现剧增，几乎是2017年的10倍之多。学生的职业</w:t>
      </w:r>
      <w:r>
        <w:rPr>
          <w:rFonts w:hint="eastAsia" w:ascii="宋体" w:hAnsi="宋体" w:eastAsia="宋体" w:cs="宋体"/>
          <w:sz w:val="24"/>
          <w:szCs w:val="24"/>
          <w:lang w:eastAsia="zh-CN"/>
        </w:rPr>
        <w:t>技能等级证书及职业资格证书</w:t>
      </w:r>
      <w:r>
        <w:rPr>
          <w:rFonts w:hint="eastAsia" w:ascii="宋体" w:hAnsi="宋体" w:eastAsia="宋体" w:cs="宋体"/>
          <w:sz w:val="24"/>
          <w:szCs w:val="24"/>
          <w:lang w:val="en-US" w:eastAsia="zh-CN"/>
        </w:rPr>
        <w:t>获取率逐年上升，拐点同样出现在2018年，从2017年的4.79%增长到34.33%，之后趋于平稳。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eastAsiaTheme="minorEastAsia"/>
          <w:sz w:val="24"/>
          <w:szCs w:val="24"/>
          <w:lang w:val="en-US" w:eastAsia="zh-CN"/>
        </w:rPr>
      </w:pPr>
      <w:r>
        <w:drawing>
          <wp:inline distT="0" distB="0" distL="114300" distR="114300">
            <wp:extent cx="2400300" cy="18669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eastAsia"/>
          <w:lang w:val="en-US" w:eastAsia="zh-CN"/>
        </w:rPr>
        <w:t xml:space="preserve">   </w:t>
      </w:r>
      <w:r>
        <w:drawing>
          <wp:inline distT="0" distB="0" distL="114300" distR="114300">
            <wp:extent cx="2181860" cy="1809750"/>
            <wp:effectExtent l="4445" t="4445" r="2349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图6  2017-2019年毕业生职业资格证书获取情况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学校共有13个专业学生考取相关证书、占72.22%，考取证书数量较多（100个以上）的是康复治疗技术、体育教育两个专业，分别是123个、110个证书。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4"/>
          <w:szCs w:val="24"/>
          <w:lang w:val="en-US" w:eastAsia="zh-CN"/>
        </w:rPr>
      </w:pPr>
      <w:r>
        <w:drawing>
          <wp:inline distT="0" distB="0" distL="114300" distR="114300">
            <wp:extent cx="4572000" cy="2743200"/>
            <wp:effectExtent l="4445" t="4445" r="14605" b="14605"/>
            <wp:docPr id="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yellow"/>
          <w:lang w:eastAsia="zh-CN"/>
        </w:rPr>
      </w:pPr>
      <w:r>
        <w:rPr>
          <w:rFonts w:hint="eastAsia" w:ascii="宋体" w:hAnsi="宋体" w:eastAsia="宋体" w:cs="宋体"/>
          <w:sz w:val="24"/>
          <w:szCs w:val="24"/>
          <w:lang w:val="en-US" w:eastAsia="zh-CN"/>
        </w:rPr>
        <w:t xml:space="preserve">图7  </w:t>
      </w:r>
      <w:r>
        <w:rPr>
          <w:rFonts w:hint="eastAsia" w:ascii="宋体" w:hAnsi="宋体" w:eastAsia="宋体" w:cs="宋体"/>
          <w:sz w:val="21"/>
          <w:szCs w:val="21"/>
          <w:lang w:val="en-US" w:eastAsia="zh-CN"/>
        </w:rPr>
        <w:t>不同专业毕业生职业资格证书获取情况</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eastAsia="zh-CN"/>
        </w:rPr>
        <w:t>）毕业生就业及升学</w:t>
      </w:r>
      <w:r>
        <w:rPr>
          <w:rFonts w:hint="eastAsia" w:ascii="宋体" w:hAnsi="宋体" w:eastAsia="宋体" w:cs="宋体"/>
          <w:b/>
          <w:bCs w:val="0"/>
          <w:sz w:val="24"/>
          <w:szCs w:val="24"/>
          <w:lang w:val="en-US" w:eastAsia="zh-CN"/>
        </w:rPr>
        <w:t>情况较好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2017-2019年，学校毕业生分别有689人、801人、875人，直接就业人数分别是671人、786人、466人，就业率均在95%以上；2019年因受疫情影响，仅有一半学生就业。升学人数分别为144人、343人、409人，升学率在20%-50%之间，2018年较2017年增长两倍，达到42.82%，逐年平稳上升。自主创业人数分别为42人、5人、15人，年平均创业率为2.62%。</w:t>
      </w:r>
      <w:r>
        <w:rPr>
          <w:rFonts w:hint="eastAsia" w:ascii="宋体" w:hAnsi="宋体" w:eastAsia="宋体" w:cs="宋体"/>
          <w:sz w:val="24"/>
          <w:szCs w:val="24"/>
          <w:highlight w:val="none"/>
          <w:lang w:val="en-US" w:eastAsia="zh-CN"/>
        </w:rPr>
        <w:t>学校也在继续加强创新创业教育，建设创业孵化基地，帮助学生创业。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表11  毕业生就业及升学情况（单位：人）</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463"/>
        <w:gridCol w:w="1696"/>
        <w:gridCol w:w="165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2077" w:type="pct"/>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项目</w:t>
            </w:r>
          </w:p>
        </w:tc>
        <w:tc>
          <w:tcPr>
            <w:tcW w:w="10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2017年</w:t>
            </w:r>
          </w:p>
        </w:tc>
        <w:tc>
          <w:tcPr>
            <w:tcW w:w="995"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2018年</w:t>
            </w:r>
          </w:p>
        </w:tc>
        <w:tc>
          <w:tcPr>
            <w:tcW w:w="90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77"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毕业生数（全日制）</w:t>
            </w:r>
          </w:p>
        </w:tc>
        <w:tc>
          <w:tcPr>
            <w:tcW w:w="1017"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689</w:t>
            </w:r>
          </w:p>
        </w:tc>
        <w:tc>
          <w:tcPr>
            <w:tcW w:w="995"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801</w:t>
            </w:r>
          </w:p>
        </w:tc>
        <w:tc>
          <w:tcPr>
            <w:tcW w:w="909"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7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就业数</w:t>
            </w:r>
          </w:p>
        </w:tc>
        <w:tc>
          <w:tcPr>
            <w:tcW w:w="1017"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671</w:t>
            </w:r>
          </w:p>
        </w:tc>
        <w:tc>
          <w:tcPr>
            <w:tcW w:w="995"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786</w:t>
            </w:r>
          </w:p>
        </w:tc>
        <w:tc>
          <w:tcPr>
            <w:tcW w:w="909"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77" w:type="pct"/>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升学数</w:t>
            </w:r>
          </w:p>
        </w:tc>
        <w:tc>
          <w:tcPr>
            <w:tcW w:w="1017"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144</w:t>
            </w:r>
          </w:p>
        </w:tc>
        <w:tc>
          <w:tcPr>
            <w:tcW w:w="995"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343</w:t>
            </w:r>
          </w:p>
        </w:tc>
        <w:tc>
          <w:tcPr>
            <w:tcW w:w="909"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7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自主创业数</w:t>
            </w:r>
          </w:p>
        </w:tc>
        <w:tc>
          <w:tcPr>
            <w:tcW w:w="1017"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42</w:t>
            </w:r>
          </w:p>
        </w:tc>
        <w:tc>
          <w:tcPr>
            <w:tcW w:w="995"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w:t>
            </w:r>
          </w:p>
        </w:tc>
        <w:tc>
          <w:tcPr>
            <w:tcW w:w="909"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4"/>
          <w:szCs w:val="24"/>
        </w:rPr>
      </w:pPr>
      <w:r>
        <w:drawing>
          <wp:inline distT="0" distB="0" distL="114300" distR="114300">
            <wp:extent cx="4572000" cy="27432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图7  2017-2019年就业率及升学率走势</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eastAsia="zh-CN"/>
        </w:rPr>
        <w:t>）毕业生就业去向</w:t>
      </w:r>
      <w:r>
        <w:rPr>
          <w:rFonts w:hint="eastAsia" w:ascii="宋体" w:hAnsi="宋体" w:eastAsia="宋体" w:cs="宋体"/>
          <w:b/>
          <w:bCs w:val="0"/>
          <w:sz w:val="24"/>
          <w:szCs w:val="24"/>
          <w:lang w:val="en-US" w:eastAsia="zh-CN"/>
        </w:rPr>
        <w:t>以基层为主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毕业生就业中，以到中小微及基层就业为主。近3年，年均毕业生到中小微及基层就业人数占就业总数的48.12%；年均毕业生到500强企业就业人数仅占3.68%。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表12  2017-2019年学生就业去向情况（</w:t>
      </w:r>
      <w:r>
        <w:rPr>
          <w:rFonts w:hint="eastAsia" w:ascii="宋体" w:hAnsi="宋体" w:eastAsia="宋体" w:cs="宋体"/>
          <w:b w:val="0"/>
          <w:bCs w:val="0"/>
          <w:sz w:val="21"/>
          <w:szCs w:val="21"/>
          <w:lang w:val="en-US" w:eastAsia="zh-CN"/>
        </w:rPr>
        <w:t>单位：人）</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652"/>
        <w:gridCol w:w="1772"/>
        <w:gridCol w:w="1350"/>
        <w:gridCol w:w="1279"/>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trPr>
        <w:tc>
          <w:tcPr>
            <w:tcW w:w="2654" w:type="pct"/>
            <w:gridSpan w:val="2"/>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项目</w:t>
            </w:r>
          </w:p>
        </w:tc>
        <w:tc>
          <w:tcPr>
            <w:tcW w:w="810"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2017年</w:t>
            </w:r>
          </w:p>
        </w:tc>
        <w:tc>
          <w:tcPr>
            <w:tcW w:w="76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2018年</w:t>
            </w:r>
          </w:p>
        </w:tc>
        <w:tc>
          <w:tcPr>
            <w:tcW w:w="768"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654" w:type="pct"/>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就业数</w:t>
            </w:r>
          </w:p>
        </w:tc>
        <w:tc>
          <w:tcPr>
            <w:tcW w:w="81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671</w:t>
            </w:r>
          </w:p>
        </w:tc>
        <w:tc>
          <w:tcPr>
            <w:tcW w:w="767"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786</w:t>
            </w:r>
          </w:p>
        </w:tc>
        <w:tc>
          <w:tcPr>
            <w:tcW w:w="76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591"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其中:中小微及基层就业</w:t>
            </w:r>
          </w:p>
        </w:tc>
        <w:tc>
          <w:tcPr>
            <w:tcW w:w="1063" w:type="pct"/>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人数</w:t>
            </w:r>
          </w:p>
        </w:tc>
        <w:tc>
          <w:tcPr>
            <w:tcW w:w="81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w:t>
            </w:r>
          </w:p>
        </w:tc>
        <w:tc>
          <w:tcPr>
            <w:tcW w:w="767"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319</w:t>
            </w:r>
          </w:p>
        </w:tc>
        <w:tc>
          <w:tcPr>
            <w:tcW w:w="76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591"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63" w:type="pct"/>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占就业数比例</w:t>
            </w:r>
          </w:p>
        </w:tc>
        <w:tc>
          <w:tcPr>
            <w:tcW w:w="81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33.38%</w:t>
            </w:r>
          </w:p>
        </w:tc>
        <w:tc>
          <w:tcPr>
            <w:tcW w:w="767"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40.59%</w:t>
            </w:r>
          </w:p>
        </w:tc>
        <w:tc>
          <w:tcPr>
            <w:tcW w:w="76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591"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其中:500强企业就业数</w:t>
            </w:r>
          </w:p>
        </w:tc>
        <w:tc>
          <w:tcPr>
            <w:tcW w:w="1063" w:type="pct"/>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人数</w:t>
            </w:r>
          </w:p>
        </w:tc>
        <w:tc>
          <w:tcPr>
            <w:tcW w:w="81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767"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76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591"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63" w:type="pct"/>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占就业数比例</w:t>
            </w:r>
          </w:p>
        </w:tc>
        <w:tc>
          <w:tcPr>
            <w:tcW w:w="81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2.53%</w:t>
            </w:r>
          </w:p>
        </w:tc>
        <w:tc>
          <w:tcPr>
            <w:tcW w:w="767"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3.56%</w:t>
            </w:r>
          </w:p>
        </w:tc>
        <w:tc>
          <w:tcPr>
            <w:tcW w:w="76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4.94%</w:t>
            </w:r>
          </w:p>
        </w:tc>
      </w:tr>
    </w:tbl>
    <w:p>
      <w:pPr>
        <w:pStyle w:val="2"/>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sz w:val="28"/>
          <w:szCs w:val="28"/>
          <w:lang w:val="en-US" w:eastAsia="zh-CN"/>
        </w:rPr>
      </w:pPr>
      <w:r>
        <w:rPr>
          <w:rFonts w:hint="eastAsia"/>
          <w:b/>
          <w:sz w:val="28"/>
          <w:szCs w:val="28"/>
          <w:lang w:val="en-US" w:eastAsia="zh-CN"/>
        </w:rPr>
        <w:t>五、适应社会需求的社会服务能力</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eastAsia="zh-CN"/>
        </w:rPr>
        <w:t>）政府购买服务到款额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政府购买服务到款额</w:t>
      </w:r>
      <w:r>
        <w:rPr>
          <w:rFonts w:hint="eastAsia" w:ascii="宋体" w:hAnsi="宋体" w:eastAsia="宋体" w:cs="宋体"/>
          <w:b w:val="0"/>
          <w:bCs/>
          <w:sz w:val="24"/>
          <w:szCs w:val="24"/>
          <w:lang w:val="en-US" w:eastAsia="zh-CN"/>
        </w:rPr>
        <w:t>包括扶贫专项、社会人员培训、社区服务、技术交易和其他服务。2017-2019年</w:t>
      </w:r>
      <w:r>
        <w:rPr>
          <w:rFonts w:hint="eastAsia" w:ascii="宋体" w:hAnsi="宋体" w:eastAsia="宋体" w:cs="宋体"/>
          <w:b w:val="0"/>
          <w:bCs/>
          <w:sz w:val="24"/>
          <w:szCs w:val="24"/>
          <w:lang w:eastAsia="zh-CN"/>
        </w:rPr>
        <w:t>政府购买服务到款额</w:t>
      </w:r>
      <w:r>
        <w:rPr>
          <w:rFonts w:hint="eastAsia" w:ascii="宋体" w:hAnsi="宋体" w:eastAsia="宋体" w:cs="宋体"/>
          <w:b w:val="0"/>
          <w:bCs/>
          <w:sz w:val="24"/>
          <w:szCs w:val="24"/>
          <w:lang w:val="en-US" w:eastAsia="zh-CN"/>
        </w:rPr>
        <w:t>分别是448.99万元、625.99万元、2265.15万元，总额3340.13万元。其中，扶贫专项到款总额为3083.70万元、占92%，学校</w:t>
      </w:r>
      <w:r>
        <w:rPr>
          <w:rFonts w:hint="eastAsia" w:ascii="宋体" w:hAnsi="宋体" w:eastAsia="宋体" w:cs="宋体"/>
          <w:b w:val="0"/>
          <w:bCs/>
          <w:sz w:val="24"/>
          <w:szCs w:val="24"/>
          <w:lang w:eastAsia="zh-CN"/>
        </w:rPr>
        <w:t>政府购买服务到款额</w:t>
      </w:r>
      <w:r>
        <w:rPr>
          <w:rFonts w:hint="eastAsia" w:ascii="宋体" w:hAnsi="宋体" w:eastAsia="宋体" w:cs="宋体"/>
          <w:b w:val="0"/>
          <w:bCs/>
          <w:sz w:val="24"/>
          <w:szCs w:val="24"/>
          <w:lang w:val="en-US" w:eastAsia="zh-CN"/>
        </w:rPr>
        <w:t>以扶贫专项为主。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b/>
          <w:bCs w:val="0"/>
          <w:sz w:val="24"/>
          <w:szCs w:val="24"/>
          <w:lang w:val="en-US" w:eastAsia="zh-CN"/>
        </w:rPr>
      </w:pPr>
      <w:r>
        <w:rPr>
          <w:rFonts w:hint="eastAsia" w:ascii="宋体" w:hAnsi="宋体" w:eastAsia="宋体" w:cs="宋体"/>
          <w:i w:val="0"/>
          <w:color w:val="000000"/>
          <w:kern w:val="0"/>
          <w:sz w:val="21"/>
          <w:szCs w:val="21"/>
          <w:u w:val="none"/>
          <w:lang w:val="en-US" w:eastAsia="zh-CN" w:bidi="ar"/>
        </w:rPr>
        <w:t>表13  2017-2019年学校政府购买服务到款额情况（单位：万元）</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147"/>
        <w:gridCol w:w="2149"/>
        <w:gridCol w:w="2474"/>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jc w:val="center"/>
        </w:trPr>
        <w:tc>
          <w:tcPr>
            <w:tcW w:w="1288"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1289"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2017年</w:t>
            </w:r>
          </w:p>
        </w:tc>
        <w:tc>
          <w:tcPr>
            <w:tcW w:w="1484"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2018年</w:t>
            </w:r>
          </w:p>
        </w:tc>
        <w:tc>
          <w:tcPr>
            <w:tcW w:w="937"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288"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扶贫专项</w:t>
            </w:r>
          </w:p>
        </w:tc>
        <w:tc>
          <w:tcPr>
            <w:tcW w:w="1289"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233.28</w:t>
            </w:r>
          </w:p>
        </w:tc>
        <w:tc>
          <w:tcPr>
            <w:tcW w:w="1484"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605.27</w:t>
            </w:r>
          </w:p>
        </w:tc>
        <w:tc>
          <w:tcPr>
            <w:tcW w:w="937"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288"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社会人员培训</w:t>
            </w:r>
          </w:p>
        </w:tc>
        <w:tc>
          <w:tcPr>
            <w:tcW w:w="1289"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1484"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20.72</w:t>
            </w:r>
          </w:p>
        </w:tc>
        <w:tc>
          <w:tcPr>
            <w:tcW w:w="937"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288"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社区服务</w:t>
            </w:r>
          </w:p>
        </w:tc>
        <w:tc>
          <w:tcPr>
            <w:tcW w:w="1289"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w:t>
            </w:r>
          </w:p>
        </w:tc>
        <w:tc>
          <w:tcPr>
            <w:tcW w:w="1484"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937"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288"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技术交易</w:t>
            </w:r>
          </w:p>
        </w:tc>
        <w:tc>
          <w:tcPr>
            <w:tcW w:w="1289"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484"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937"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288"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其他服务</w:t>
            </w:r>
          </w:p>
        </w:tc>
        <w:tc>
          <w:tcPr>
            <w:tcW w:w="1289"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113.71</w:t>
            </w:r>
          </w:p>
        </w:tc>
        <w:tc>
          <w:tcPr>
            <w:tcW w:w="1484"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937"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288"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p>
        </w:tc>
        <w:tc>
          <w:tcPr>
            <w:tcW w:w="1289"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448.99</w:t>
            </w:r>
          </w:p>
        </w:tc>
        <w:tc>
          <w:tcPr>
            <w:tcW w:w="1484"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625.99</w:t>
            </w:r>
          </w:p>
        </w:tc>
        <w:tc>
          <w:tcPr>
            <w:tcW w:w="937" w:type="pct"/>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2265.15</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sz w:val="24"/>
          <w:szCs w:val="24"/>
          <w:lang w:val="en-US" w:eastAsia="zh-CN"/>
        </w:rPr>
      </w:pPr>
      <w:r>
        <w:drawing>
          <wp:inline distT="0" distB="0" distL="114300" distR="114300">
            <wp:extent cx="4257675" cy="2552700"/>
            <wp:effectExtent l="4445" t="4445" r="5080" b="1460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图8  学校政府购买服务到款额各项占比</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eastAsia="zh-CN"/>
        </w:rPr>
        <w:t>）技术服务到款额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lang w:val="en-US" w:eastAsia="zh-CN"/>
        </w:rPr>
        <w:t>学校技术服务到款额包括纵向科研、横向技术服务、培训服务和技术交易4项，进3年总额分别为70.22万元、56.57万元、524.52万元，总体呈上升趋势，2019年的年增长率达到了827.21%之多，实现跨越式发</w:t>
      </w:r>
      <w:r>
        <w:rPr>
          <w:rFonts w:hint="eastAsia" w:ascii="宋体" w:hAnsi="宋体" w:eastAsia="宋体" w:cs="宋体"/>
          <w:b w:val="0"/>
          <w:bCs/>
          <w:sz w:val="24"/>
          <w:szCs w:val="24"/>
          <w:highlight w:val="none"/>
          <w:lang w:val="en-US" w:eastAsia="zh-CN"/>
        </w:rPr>
        <w:t>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highlight w:val="none"/>
          <w:lang w:val="en-US" w:eastAsia="zh-CN"/>
        </w:rPr>
        <w:t>科研服务到款额包括纵向科研和横向技术服务2项，近3年，学校共承担科研</w:t>
      </w:r>
      <w:r>
        <w:rPr>
          <w:rFonts w:hint="eastAsia" w:ascii="宋体" w:hAnsi="宋体" w:eastAsia="宋体" w:cs="宋体"/>
          <w:b w:val="0"/>
          <w:bCs/>
          <w:color w:val="auto"/>
          <w:sz w:val="24"/>
          <w:szCs w:val="24"/>
          <w:highlight w:val="none"/>
          <w:lang w:val="en-US" w:eastAsia="zh-CN"/>
        </w:rPr>
        <w:t>项目60项，纵向课题16项，其中：省部级及以上课题2项、地厅级课题14项、校级课题44项，无横向项目。</w:t>
      </w:r>
      <w:r>
        <w:rPr>
          <w:rFonts w:hint="eastAsia" w:ascii="宋体" w:hAnsi="宋体" w:eastAsia="宋体" w:cs="宋体"/>
          <w:b w:val="0"/>
          <w:bCs/>
          <w:sz w:val="24"/>
          <w:szCs w:val="24"/>
          <w:lang w:val="en-US" w:eastAsia="zh-CN"/>
        </w:rPr>
        <w:t>科研服务到款总额474.59万元，占技术服务到款总额的72.87%，是技术服务的主体。其中，纵向科研为22万元、占科研服务到款总额的4.64%；横向技术服务为452.59万元、占95.36%，科研服务中以横向技术服务为主，符合高等职业教育服务企业发展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b/>
          <w:bCs w:val="0"/>
          <w:sz w:val="24"/>
          <w:szCs w:val="24"/>
          <w:lang w:eastAsia="zh-CN"/>
        </w:rPr>
      </w:pPr>
      <w:r>
        <w:rPr>
          <w:rFonts w:hint="eastAsia" w:ascii="宋体" w:hAnsi="宋体" w:eastAsia="宋体" w:cs="宋体"/>
          <w:i w:val="0"/>
          <w:color w:val="000000"/>
          <w:kern w:val="0"/>
          <w:sz w:val="21"/>
          <w:szCs w:val="21"/>
          <w:u w:val="none"/>
          <w:lang w:val="en-US" w:eastAsia="zh-CN" w:bidi="ar"/>
        </w:rPr>
        <w:t>表14  2017-2019年学校技术服务到款额情况（单位：万元）</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113"/>
        <w:gridCol w:w="1716"/>
        <w:gridCol w:w="1969"/>
        <w:gridCol w:w="126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 w:hRule="atLeast"/>
          <w:jc w:val="center"/>
        </w:trPr>
        <w:tc>
          <w:tcPr>
            <w:tcW w:w="1267" w:type="pct"/>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102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2017年</w:t>
            </w:r>
          </w:p>
        </w:tc>
        <w:tc>
          <w:tcPr>
            <w:tcW w:w="118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2018年</w:t>
            </w:r>
          </w:p>
        </w:tc>
        <w:tc>
          <w:tcPr>
            <w:tcW w:w="76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2019年</w:t>
            </w:r>
          </w:p>
        </w:tc>
        <w:tc>
          <w:tcPr>
            <w:tcW w:w="76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267" w:type="pct"/>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Style w:val="12"/>
                <w:rFonts w:hint="eastAsia" w:ascii="宋体" w:hAnsi="宋体" w:eastAsia="宋体" w:cs="宋体"/>
                <w:sz w:val="21"/>
                <w:szCs w:val="21"/>
                <w:lang w:val="en-US" w:eastAsia="zh-CN" w:bidi="ar"/>
              </w:rPr>
              <w:t>纵向科研</w:t>
            </w:r>
          </w:p>
        </w:tc>
        <w:tc>
          <w:tcPr>
            <w:tcW w:w="1029"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8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w:t>
            </w:r>
          </w:p>
        </w:tc>
        <w:tc>
          <w:tcPr>
            <w:tcW w:w="76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w:t>
            </w:r>
          </w:p>
        </w:tc>
        <w:tc>
          <w:tcPr>
            <w:tcW w:w="76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267" w:type="pct"/>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横向技术服务</w:t>
            </w:r>
          </w:p>
        </w:tc>
        <w:tc>
          <w:tcPr>
            <w:tcW w:w="1029"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8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26.97</w:t>
            </w:r>
          </w:p>
        </w:tc>
        <w:tc>
          <w:tcPr>
            <w:tcW w:w="76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421.62</w:t>
            </w:r>
          </w:p>
        </w:tc>
        <w:tc>
          <w:tcPr>
            <w:tcW w:w="76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267" w:type="pct"/>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培训服务</w:t>
            </w:r>
          </w:p>
        </w:tc>
        <w:tc>
          <w:tcPr>
            <w:tcW w:w="1029"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62.22</w:t>
            </w:r>
          </w:p>
        </w:tc>
        <w:tc>
          <w:tcPr>
            <w:tcW w:w="118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76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44.5</w:t>
            </w:r>
          </w:p>
        </w:tc>
        <w:tc>
          <w:tcPr>
            <w:tcW w:w="76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267" w:type="pct"/>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技术交易</w:t>
            </w:r>
          </w:p>
        </w:tc>
        <w:tc>
          <w:tcPr>
            <w:tcW w:w="1029"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8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6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267" w:type="pct"/>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29"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70.22</w:t>
            </w:r>
          </w:p>
        </w:tc>
        <w:tc>
          <w:tcPr>
            <w:tcW w:w="118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56.57</w:t>
            </w:r>
          </w:p>
        </w:tc>
        <w:tc>
          <w:tcPr>
            <w:tcW w:w="76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524.52</w:t>
            </w:r>
          </w:p>
        </w:tc>
        <w:tc>
          <w:tcPr>
            <w:tcW w:w="76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651.31</w:t>
            </w:r>
          </w:p>
        </w:tc>
      </w:tr>
    </w:tbl>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eastAsia="zh-CN"/>
        </w:rPr>
        <w:t>）职业培训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学校高度重视职业培训，秉持“学历教育与职业培训并重”的办学及教育理念。2018学年，学校职业培训达到1349人次，培训量达23051人日。职业培训授课的校内教师27人、企业兼职教师20人。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近3年，社会人员培训到款额分别为56万元、20.72万元、20万元，年均32.24万元；培训服务到款额分别为62.22万元、20万元、44.5万元。</w:t>
      </w:r>
    </w:p>
    <w:p>
      <w:pPr>
        <w:pStyle w:val="2"/>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sz w:val="28"/>
          <w:szCs w:val="28"/>
          <w:lang w:val="en-US" w:eastAsia="zh-CN"/>
        </w:rPr>
      </w:pPr>
      <w:r>
        <w:rPr>
          <w:rFonts w:hint="eastAsia"/>
          <w:b/>
          <w:sz w:val="28"/>
          <w:szCs w:val="28"/>
          <w:lang w:val="en-US" w:eastAsia="zh-CN"/>
        </w:rPr>
        <w:t>六、适应社会需求能力的改进方向</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eastAsia="zh-CN"/>
        </w:rPr>
        <w:t>）亟待解决的问题</w:t>
      </w: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b/>
          <w:bCs/>
          <w:sz w:val="24"/>
          <w:szCs w:val="24"/>
          <w:lang w:val="en-US" w:eastAsia="zh-CN"/>
        </w:rPr>
      </w:pPr>
      <w:r>
        <w:rPr>
          <w:rFonts w:hint="eastAsia" w:ascii="宋体" w:hAnsi="宋体"/>
          <w:b/>
          <w:bCs/>
          <w:sz w:val="24"/>
          <w:szCs w:val="24"/>
          <w:lang w:val="en-US" w:eastAsia="zh-CN"/>
        </w:rPr>
        <w:t>1、学校办学条件需进一步提高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《普通高等学院基本办学条件指标（试行）》中要求：生均教学行政用房22平方米/生、百名学生配教学用计算机8台、生师比13:1。目前，学校在生均教学行政用房、</w:t>
      </w:r>
      <w:r>
        <w:rPr>
          <w:rFonts w:hint="eastAsia" w:ascii="宋体" w:hAnsi="宋体" w:eastAsia="宋体" w:cs="宋体"/>
          <w:b w:val="0"/>
          <w:bCs w:val="0"/>
          <w:sz w:val="24"/>
          <w:szCs w:val="24"/>
          <w:lang w:val="en-US" w:eastAsia="zh-CN"/>
        </w:rPr>
        <w:t>每百名学生配教学用计算机、</w:t>
      </w:r>
      <w:r>
        <w:rPr>
          <w:rFonts w:hint="eastAsia" w:ascii="宋体" w:hAnsi="宋体" w:cs="宋体"/>
          <w:b w:val="0"/>
          <w:bCs w:val="0"/>
          <w:color w:val="auto"/>
          <w:kern w:val="2"/>
          <w:sz w:val="24"/>
          <w:szCs w:val="24"/>
          <w:lang w:val="en-US" w:eastAsia="zh-CN" w:bidi="ar-SA"/>
        </w:rPr>
        <w:t>生师比这3项均未达到要求，是学校下一阶段的工作重心。</w:t>
      </w: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olor w:val="0000FF"/>
          <w:sz w:val="24"/>
          <w:szCs w:val="24"/>
          <w:highlight w:val="none"/>
          <w:lang w:val="en-US" w:eastAsia="zh-CN"/>
        </w:rPr>
      </w:pPr>
      <w:r>
        <w:rPr>
          <w:rFonts w:hint="eastAsia" w:ascii="宋体" w:hAnsi="宋体"/>
          <w:b/>
          <w:bCs/>
          <w:sz w:val="24"/>
          <w:szCs w:val="24"/>
          <w:lang w:val="en-US" w:eastAsia="zh-CN"/>
        </w:rPr>
        <w:t>2、教师队伍需进一步扩大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目前，学校教师队伍在结构上的高职称、高学历、“双师型”占比较高，远远高于</w:t>
      </w:r>
      <w:r>
        <w:rPr>
          <w:rFonts w:hint="eastAsia" w:ascii="宋体" w:hAnsi="宋体" w:eastAsia="宋体" w:cs="宋体"/>
          <w:sz w:val="24"/>
          <w:szCs w:val="24"/>
          <w:lang w:val="en-US" w:eastAsia="zh-CN"/>
        </w:rPr>
        <w:t>《普通高等学院基本办学条件指标（试行）》的相关标准要求，在办学条件中</w:t>
      </w:r>
      <w:r>
        <w:rPr>
          <w:rFonts w:hint="eastAsia" w:ascii="宋体" w:hAnsi="宋体"/>
          <w:color w:val="auto"/>
          <w:sz w:val="24"/>
          <w:szCs w:val="24"/>
          <w:highlight w:val="none"/>
          <w:lang w:val="en-US" w:eastAsia="zh-CN"/>
        </w:rPr>
        <w:t>具有较大优势，有利于高质量发展。但是整体生师比稍有不足，按照学校在校生发展规模，教师总量略有不足，需进一步采取多种形式补充教师队伍数量，提升队伍质量，以保障教育质量的提升，满足高素质技术技能型人才培养的需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b/>
          <w:bCs/>
          <w:sz w:val="24"/>
          <w:szCs w:val="24"/>
          <w:lang w:val="en-US" w:eastAsia="zh-CN"/>
        </w:rPr>
      </w:pPr>
      <w:r>
        <w:rPr>
          <w:rFonts w:hint="eastAsia" w:ascii="宋体" w:hAnsi="宋体"/>
          <w:b/>
          <w:bCs/>
          <w:sz w:val="24"/>
          <w:szCs w:val="24"/>
          <w:lang w:val="en-US" w:eastAsia="zh-CN"/>
        </w:rPr>
        <w:t>3、学校办学优势发挥不够充分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学校整体办学优势应在体育教育上发挥更大优势，校企合作办学专业特色有待加强；1+X专业试点面需要进一步扩大；在建设一批产教融合、特色鲜明的高水平专业及专业群方面有待加强；国际合作交流有待进一步拓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b/>
          <w:bCs/>
          <w:sz w:val="24"/>
          <w:szCs w:val="24"/>
          <w:lang w:val="en-US" w:eastAsia="zh-CN"/>
        </w:rPr>
      </w:pPr>
      <w:r>
        <w:rPr>
          <w:rFonts w:hint="eastAsia" w:ascii="宋体" w:hAnsi="宋体"/>
          <w:b/>
          <w:bCs/>
          <w:sz w:val="24"/>
          <w:szCs w:val="24"/>
          <w:lang w:val="en-US" w:eastAsia="zh-CN"/>
        </w:rPr>
        <w:t>4、科研等社会服务能力需进一步提升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目前，学校的整体科研能力较弱，高水平的科研平台较少，科研队伍研究能力有待提升，缺乏国内、省内具有较强科研能力且具有影响力的拔尖人才，承担重大科研项目较少，高水平科研成果产出较少。科研服务社会、服务区域经济发展的能力有待提升。进一步加强职业培训、强化社会服务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b/>
          <w:bCs/>
          <w:sz w:val="24"/>
          <w:szCs w:val="24"/>
          <w:lang w:val="en-US" w:eastAsia="zh-CN"/>
        </w:rPr>
      </w:pPr>
      <w:r>
        <w:rPr>
          <w:rFonts w:hint="eastAsia" w:ascii="宋体" w:hAnsi="宋体"/>
          <w:b/>
          <w:bCs/>
          <w:sz w:val="24"/>
          <w:szCs w:val="24"/>
          <w:lang w:val="en-US" w:eastAsia="zh-CN"/>
        </w:rPr>
        <w:t>5、校企合作长效机制需进一步完善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在现有的校企合作基础上，需要进一步理清合作思路和模式，在学生实习、教师实践、校企共建实训基地及专业、课程级教材开发等方面持续推进，建立长效动态合作机制，促进学校办学质量提升。</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eastAsia="zh-CN"/>
        </w:rPr>
        <w:t>）发展改进的方向</w:t>
      </w: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b/>
          <w:bCs/>
          <w:sz w:val="24"/>
          <w:szCs w:val="24"/>
          <w:lang w:val="en-US" w:eastAsia="zh-CN"/>
        </w:rPr>
      </w:pPr>
      <w:r>
        <w:rPr>
          <w:rFonts w:hint="eastAsia" w:ascii="宋体" w:hAnsi="宋体"/>
          <w:b/>
          <w:bCs/>
          <w:sz w:val="24"/>
          <w:szCs w:val="24"/>
          <w:lang w:val="en-US" w:eastAsia="zh-CN"/>
        </w:rPr>
        <w:t>1、完善顶层设计，解决突出问题</w:t>
      </w: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宋体" w:hAnsi="宋体"/>
          <w:sz w:val="24"/>
          <w:szCs w:val="24"/>
          <w:lang w:val="en-US" w:eastAsia="zh-CN"/>
        </w:rPr>
        <w:t>借助学校“十四五”发展规划良好契机，整体梳理学校概况，完善学校各项发展规划，确认未来发展重点，着力解决突出问题。同时，进一步完善学校基本办学条件，提升办学能力。</w:t>
      </w: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b/>
          <w:bCs/>
          <w:sz w:val="24"/>
          <w:szCs w:val="24"/>
          <w:lang w:val="en-US" w:eastAsia="zh-CN"/>
        </w:rPr>
      </w:pPr>
      <w:r>
        <w:rPr>
          <w:rFonts w:hint="eastAsia" w:ascii="宋体" w:hAnsi="宋体"/>
          <w:b/>
          <w:bCs/>
          <w:sz w:val="24"/>
          <w:szCs w:val="24"/>
          <w:lang w:val="en-US" w:eastAsia="zh-CN"/>
        </w:rPr>
        <w:t>2、完善激励机制，建设优良教师队伍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Theme="minorEastAsia"/>
          <w:sz w:val="24"/>
          <w:szCs w:val="24"/>
          <w:lang w:val="en-US" w:eastAsia="zh-CN"/>
        </w:rPr>
      </w:pPr>
      <w:r>
        <w:rPr>
          <w:rFonts w:hint="eastAsia" w:ascii="宋体" w:hAnsi="宋体"/>
          <w:sz w:val="24"/>
          <w:szCs w:val="24"/>
          <w:lang w:val="en-US" w:eastAsia="zh-CN"/>
        </w:rPr>
        <w:t>建立完善教师引进制度，按照学校“十四五”发展规划的招生规模，匹配相应的教师，在数量和质量两方面均达到办学条件的标准。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建立完善教师激励与约束机制，提高教师队伍的主动性、积极性，通过实施教师素质提升工程、教师培训工程、“双师型”实践工程等，进一步推进教师发展建设，全面提升教师队伍水平，提升整体教学质量，培育高素质技能型体育人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b/>
          <w:bCs/>
          <w:sz w:val="24"/>
          <w:szCs w:val="24"/>
          <w:lang w:val="en-US" w:eastAsia="zh-CN"/>
        </w:rPr>
      </w:pPr>
      <w:r>
        <w:rPr>
          <w:rFonts w:hint="eastAsia" w:ascii="宋体" w:hAnsi="宋体"/>
          <w:b/>
          <w:bCs/>
          <w:sz w:val="24"/>
          <w:szCs w:val="24"/>
          <w:lang w:val="en-US" w:eastAsia="zh-CN"/>
        </w:rPr>
        <w:t>3、加大国际合作力度，打造体育职教品牌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学校发展紧密结合云南面向南亚东南亚发展定位，积极引进国外优质高职教育资源，与泰国、缅甸、老挝等国家积极开展国际合作，建立国际交流中心，在学生培养、教师交流、学术交流、专业建设等方面开展合作，“引进来”“走出去”两条腿走路，强化品牌建设，为国家“一带一路”建设搭建体育沟通的桥梁，发挥体育教育的积极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b/>
          <w:bCs/>
          <w:sz w:val="24"/>
          <w:szCs w:val="24"/>
          <w:lang w:val="en-US" w:eastAsia="zh-CN"/>
        </w:rPr>
      </w:pPr>
      <w:r>
        <w:rPr>
          <w:rFonts w:hint="eastAsia" w:ascii="宋体" w:hAnsi="宋体"/>
          <w:b/>
          <w:bCs/>
          <w:sz w:val="24"/>
          <w:szCs w:val="24"/>
          <w:lang w:val="en-US" w:eastAsia="zh-CN"/>
        </w:rPr>
        <w:t>4、积极提升科研能力，强化科研社会服务能力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积极引进科研人员，加强科研培训，提升科研能力，建设一支高质量高素质的科研队伍。面向社会、企业承接横向研究项目，有针对性地为体育行业、企业开展服务，帮助企业搞好科技创新与研发，促进成果转化，提升高职院校科研服务企业发展的服务能力，促进经济发展，实现校企的双赢共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b/>
          <w:bCs/>
          <w:sz w:val="24"/>
          <w:szCs w:val="24"/>
          <w:lang w:val="en-US" w:eastAsia="zh-CN"/>
        </w:rPr>
      </w:pPr>
      <w:r>
        <w:rPr>
          <w:rFonts w:hint="eastAsia" w:ascii="宋体" w:hAnsi="宋体"/>
          <w:b/>
          <w:bCs/>
          <w:sz w:val="24"/>
          <w:szCs w:val="24"/>
          <w:lang w:val="en-US" w:eastAsia="zh-CN"/>
        </w:rPr>
        <w:t>5、完善校企合作长效机制，强化校企服务能力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一是持续推进校企合作相关工作，加大与企业合作的力度，扩大合作范围，深化产教融合，加强校企共建实训基地、专业、课程、“双师型”教师培养，达到真真的资源共享，推动学校高质量培养企业所需技术技能人才。二是搭建校企协调创新平台，探索合作共赢的有效途径，提高经济效益，全面提升服务区域经济发展能力。三是构建校企合作长效机制，保障合作的良性状态，提高校企双方的积极性，推动深入合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341"/>
        </w:tabs>
        <w:bidi w:val="0"/>
        <w:jc w:val="left"/>
        <w:rPr>
          <w:rFonts w:hint="eastAsia"/>
          <w:lang w:val="en-US" w:eastAsia="zh-CN"/>
        </w:rPr>
      </w:pPr>
      <w:r>
        <w:rPr>
          <w:rFonts w:hint="eastAsia"/>
          <w:lang w:val="en-US" w:eastAsia="zh-CN"/>
        </w:rPr>
        <w:tab/>
        <w:t>云南体育运动职业技术学院</w:t>
      </w:r>
    </w:p>
    <w:p>
      <w:pPr>
        <w:tabs>
          <w:tab w:val="left" w:pos="5341"/>
        </w:tabs>
        <w:bidi w:val="0"/>
        <w:jc w:val="left"/>
        <w:rPr>
          <w:rFonts w:hint="default"/>
          <w:lang w:val="en-US" w:eastAsia="zh-CN"/>
        </w:rPr>
      </w:pPr>
      <w:r>
        <w:rPr>
          <w:rFonts w:hint="eastAsia"/>
          <w:lang w:val="en-US" w:eastAsia="zh-CN"/>
        </w:rPr>
        <w:t xml:space="preserve">                                                       </w:t>
      </w:r>
      <w:bookmarkStart w:id="0" w:name="_GoBack"/>
      <w:bookmarkEnd w:id="0"/>
      <w:r>
        <w:rPr>
          <w:rFonts w:hint="eastAsia"/>
          <w:lang w:val="en-US" w:eastAsia="zh-CN"/>
        </w:rPr>
        <w:t>2020年11月2日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88F60"/>
    <w:multiLevelType w:val="singleLevel"/>
    <w:tmpl w:val="3B388F6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F6A6B"/>
    <w:rsid w:val="018E1F0E"/>
    <w:rsid w:val="01CC1492"/>
    <w:rsid w:val="021B658B"/>
    <w:rsid w:val="02273EF5"/>
    <w:rsid w:val="026858F2"/>
    <w:rsid w:val="026E740E"/>
    <w:rsid w:val="03284590"/>
    <w:rsid w:val="037C1ED7"/>
    <w:rsid w:val="03C1311C"/>
    <w:rsid w:val="03D805F5"/>
    <w:rsid w:val="043E31F0"/>
    <w:rsid w:val="045E2FCD"/>
    <w:rsid w:val="050442C8"/>
    <w:rsid w:val="050B30B9"/>
    <w:rsid w:val="05370BA1"/>
    <w:rsid w:val="058347DB"/>
    <w:rsid w:val="058A57E2"/>
    <w:rsid w:val="05A216F7"/>
    <w:rsid w:val="05CB3623"/>
    <w:rsid w:val="069805B2"/>
    <w:rsid w:val="0766208B"/>
    <w:rsid w:val="07751EDB"/>
    <w:rsid w:val="07DD3CC6"/>
    <w:rsid w:val="08D24582"/>
    <w:rsid w:val="09274D75"/>
    <w:rsid w:val="099A0E60"/>
    <w:rsid w:val="09BF5B6B"/>
    <w:rsid w:val="09E16D4D"/>
    <w:rsid w:val="09E65259"/>
    <w:rsid w:val="0A102453"/>
    <w:rsid w:val="0A7734F2"/>
    <w:rsid w:val="0A880ED5"/>
    <w:rsid w:val="0AAB365A"/>
    <w:rsid w:val="0ABA24FB"/>
    <w:rsid w:val="0B0B4EE7"/>
    <w:rsid w:val="0B2843BE"/>
    <w:rsid w:val="0B4D5F36"/>
    <w:rsid w:val="0BD85854"/>
    <w:rsid w:val="0C04538D"/>
    <w:rsid w:val="0C515556"/>
    <w:rsid w:val="0CA03134"/>
    <w:rsid w:val="0D116C42"/>
    <w:rsid w:val="0D3940AC"/>
    <w:rsid w:val="0D9C660D"/>
    <w:rsid w:val="0DEC2815"/>
    <w:rsid w:val="0E2C1596"/>
    <w:rsid w:val="0E793317"/>
    <w:rsid w:val="0E9A2712"/>
    <w:rsid w:val="0F5347A5"/>
    <w:rsid w:val="106441B7"/>
    <w:rsid w:val="10FC3882"/>
    <w:rsid w:val="11261D93"/>
    <w:rsid w:val="113F769C"/>
    <w:rsid w:val="114D60C6"/>
    <w:rsid w:val="115D5C6D"/>
    <w:rsid w:val="11A433F2"/>
    <w:rsid w:val="11BD3774"/>
    <w:rsid w:val="11F82984"/>
    <w:rsid w:val="122742F3"/>
    <w:rsid w:val="1239717D"/>
    <w:rsid w:val="125D2A1A"/>
    <w:rsid w:val="12601990"/>
    <w:rsid w:val="127C48D7"/>
    <w:rsid w:val="12A27450"/>
    <w:rsid w:val="12B90B5F"/>
    <w:rsid w:val="12CD2019"/>
    <w:rsid w:val="12D26CAB"/>
    <w:rsid w:val="12DC3F34"/>
    <w:rsid w:val="12F27EC7"/>
    <w:rsid w:val="1312173D"/>
    <w:rsid w:val="131550D3"/>
    <w:rsid w:val="137229B3"/>
    <w:rsid w:val="13A85B5D"/>
    <w:rsid w:val="13AE49E6"/>
    <w:rsid w:val="13BF5758"/>
    <w:rsid w:val="144733A9"/>
    <w:rsid w:val="146D0B0A"/>
    <w:rsid w:val="14AB719B"/>
    <w:rsid w:val="152A3A69"/>
    <w:rsid w:val="152C0AB5"/>
    <w:rsid w:val="157A6ACB"/>
    <w:rsid w:val="15A1756B"/>
    <w:rsid w:val="15C41F9D"/>
    <w:rsid w:val="16285DB5"/>
    <w:rsid w:val="168E4C3E"/>
    <w:rsid w:val="16A3406A"/>
    <w:rsid w:val="17546FEB"/>
    <w:rsid w:val="17694ED7"/>
    <w:rsid w:val="17EE033B"/>
    <w:rsid w:val="18021425"/>
    <w:rsid w:val="182639FD"/>
    <w:rsid w:val="187F7B19"/>
    <w:rsid w:val="18DF0826"/>
    <w:rsid w:val="190869D8"/>
    <w:rsid w:val="19D335D9"/>
    <w:rsid w:val="19D8457C"/>
    <w:rsid w:val="19E26F68"/>
    <w:rsid w:val="1B9D2215"/>
    <w:rsid w:val="1BFC478D"/>
    <w:rsid w:val="1C3E73C2"/>
    <w:rsid w:val="1CC9102F"/>
    <w:rsid w:val="1D840DC6"/>
    <w:rsid w:val="1D9A0E56"/>
    <w:rsid w:val="1DE9285B"/>
    <w:rsid w:val="1DEA392E"/>
    <w:rsid w:val="1E2222DE"/>
    <w:rsid w:val="1E475E4E"/>
    <w:rsid w:val="1E7F5FCE"/>
    <w:rsid w:val="1E82466D"/>
    <w:rsid w:val="1EFC4557"/>
    <w:rsid w:val="1F5B60C4"/>
    <w:rsid w:val="1FCD42FF"/>
    <w:rsid w:val="204A4E34"/>
    <w:rsid w:val="206A3824"/>
    <w:rsid w:val="206C150E"/>
    <w:rsid w:val="207071A5"/>
    <w:rsid w:val="20A4017A"/>
    <w:rsid w:val="21163116"/>
    <w:rsid w:val="21434F3A"/>
    <w:rsid w:val="2149188F"/>
    <w:rsid w:val="214E62C0"/>
    <w:rsid w:val="22301FEB"/>
    <w:rsid w:val="22536E89"/>
    <w:rsid w:val="22B2229D"/>
    <w:rsid w:val="236C7C23"/>
    <w:rsid w:val="237D1A10"/>
    <w:rsid w:val="24190A68"/>
    <w:rsid w:val="24D77B25"/>
    <w:rsid w:val="25050BBB"/>
    <w:rsid w:val="25144794"/>
    <w:rsid w:val="255225CE"/>
    <w:rsid w:val="25EA6F80"/>
    <w:rsid w:val="261841EF"/>
    <w:rsid w:val="261F7221"/>
    <w:rsid w:val="26312EC9"/>
    <w:rsid w:val="26337869"/>
    <w:rsid w:val="269678F0"/>
    <w:rsid w:val="26BA7CE2"/>
    <w:rsid w:val="26C5044E"/>
    <w:rsid w:val="26E606FE"/>
    <w:rsid w:val="273A3697"/>
    <w:rsid w:val="27866846"/>
    <w:rsid w:val="27872452"/>
    <w:rsid w:val="27E560FD"/>
    <w:rsid w:val="280F4F6B"/>
    <w:rsid w:val="284F73C3"/>
    <w:rsid w:val="286C48DE"/>
    <w:rsid w:val="286F3AB9"/>
    <w:rsid w:val="28994471"/>
    <w:rsid w:val="293530C9"/>
    <w:rsid w:val="29623E36"/>
    <w:rsid w:val="29C85996"/>
    <w:rsid w:val="29FA6260"/>
    <w:rsid w:val="2A675C24"/>
    <w:rsid w:val="2A7C2747"/>
    <w:rsid w:val="2A831294"/>
    <w:rsid w:val="2AE00C95"/>
    <w:rsid w:val="2AE804C7"/>
    <w:rsid w:val="2B2B6FB3"/>
    <w:rsid w:val="2B2D1D2E"/>
    <w:rsid w:val="2B426E03"/>
    <w:rsid w:val="2B730394"/>
    <w:rsid w:val="2BDD41D6"/>
    <w:rsid w:val="2C196E56"/>
    <w:rsid w:val="2C38093E"/>
    <w:rsid w:val="2C546EB9"/>
    <w:rsid w:val="2C5C1374"/>
    <w:rsid w:val="2C620867"/>
    <w:rsid w:val="2C7F07DE"/>
    <w:rsid w:val="2CDE50A1"/>
    <w:rsid w:val="2CF7392C"/>
    <w:rsid w:val="2D193714"/>
    <w:rsid w:val="2DCC7AB9"/>
    <w:rsid w:val="2E3904BC"/>
    <w:rsid w:val="2E9044B8"/>
    <w:rsid w:val="2E981AF9"/>
    <w:rsid w:val="2EA2568A"/>
    <w:rsid w:val="2ECC5BC0"/>
    <w:rsid w:val="2ED13993"/>
    <w:rsid w:val="2F0A2CBF"/>
    <w:rsid w:val="2F7613D7"/>
    <w:rsid w:val="2FC366F2"/>
    <w:rsid w:val="2FE03373"/>
    <w:rsid w:val="2FF52B7B"/>
    <w:rsid w:val="307061C4"/>
    <w:rsid w:val="30795D81"/>
    <w:rsid w:val="30AA3666"/>
    <w:rsid w:val="31612DE3"/>
    <w:rsid w:val="31B23C4B"/>
    <w:rsid w:val="31B90DAD"/>
    <w:rsid w:val="31CB0107"/>
    <w:rsid w:val="31D2004F"/>
    <w:rsid w:val="320A1960"/>
    <w:rsid w:val="325D554D"/>
    <w:rsid w:val="329B78E6"/>
    <w:rsid w:val="32BA7E6F"/>
    <w:rsid w:val="33085AA9"/>
    <w:rsid w:val="33241BBF"/>
    <w:rsid w:val="33D348DC"/>
    <w:rsid w:val="33F31DD7"/>
    <w:rsid w:val="349A4770"/>
    <w:rsid w:val="34A55B59"/>
    <w:rsid w:val="34F87FEE"/>
    <w:rsid w:val="350D71F0"/>
    <w:rsid w:val="35A45523"/>
    <w:rsid w:val="35B84D89"/>
    <w:rsid w:val="35E745C7"/>
    <w:rsid w:val="36FB2371"/>
    <w:rsid w:val="37107013"/>
    <w:rsid w:val="377C5838"/>
    <w:rsid w:val="37D04C26"/>
    <w:rsid w:val="37E22B99"/>
    <w:rsid w:val="37F7463A"/>
    <w:rsid w:val="380311A3"/>
    <w:rsid w:val="381717CB"/>
    <w:rsid w:val="386454CB"/>
    <w:rsid w:val="388A5E25"/>
    <w:rsid w:val="38FF39BD"/>
    <w:rsid w:val="390A2D8D"/>
    <w:rsid w:val="39481F1F"/>
    <w:rsid w:val="39E5689F"/>
    <w:rsid w:val="3A070008"/>
    <w:rsid w:val="3A570AC9"/>
    <w:rsid w:val="3A934FD9"/>
    <w:rsid w:val="3AB4625B"/>
    <w:rsid w:val="3BA05B4F"/>
    <w:rsid w:val="3BCE5CFF"/>
    <w:rsid w:val="3BE761C3"/>
    <w:rsid w:val="3C573823"/>
    <w:rsid w:val="3C7F754E"/>
    <w:rsid w:val="3CA35DF6"/>
    <w:rsid w:val="3CF50CE7"/>
    <w:rsid w:val="3D622E24"/>
    <w:rsid w:val="3D9A3B93"/>
    <w:rsid w:val="3E9E6492"/>
    <w:rsid w:val="3EB21BA4"/>
    <w:rsid w:val="3F684A23"/>
    <w:rsid w:val="3F886FFE"/>
    <w:rsid w:val="3F9D012D"/>
    <w:rsid w:val="3FC16252"/>
    <w:rsid w:val="3FF56FD8"/>
    <w:rsid w:val="408167CF"/>
    <w:rsid w:val="40F218AF"/>
    <w:rsid w:val="414C2806"/>
    <w:rsid w:val="41EB1D3C"/>
    <w:rsid w:val="422864E3"/>
    <w:rsid w:val="425209D4"/>
    <w:rsid w:val="42DB3EE7"/>
    <w:rsid w:val="431110D7"/>
    <w:rsid w:val="431248FD"/>
    <w:rsid w:val="43B479E4"/>
    <w:rsid w:val="44460F76"/>
    <w:rsid w:val="451935E0"/>
    <w:rsid w:val="454839B0"/>
    <w:rsid w:val="45502650"/>
    <w:rsid w:val="45565F15"/>
    <w:rsid w:val="4561515F"/>
    <w:rsid w:val="45D824E7"/>
    <w:rsid w:val="46547E20"/>
    <w:rsid w:val="466B64D8"/>
    <w:rsid w:val="46BE5735"/>
    <w:rsid w:val="481127F3"/>
    <w:rsid w:val="48343EDA"/>
    <w:rsid w:val="48672277"/>
    <w:rsid w:val="48AF0C45"/>
    <w:rsid w:val="48DD27EA"/>
    <w:rsid w:val="49052528"/>
    <w:rsid w:val="4925175A"/>
    <w:rsid w:val="492D4571"/>
    <w:rsid w:val="495D4B69"/>
    <w:rsid w:val="497224FF"/>
    <w:rsid w:val="49967713"/>
    <w:rsid w:val="49A07AF2"/>
    <w:rsid w:val="49B73FB5"/>
    <w:rsid w:val="4A1A712F"/>
    <w:rsid w:val="4A747F9E"/>
    <w:rsid w:val="4A797250"/>
    <w:rsid w:val="4AC11CFF"/>
    <w:rsid w:val="4AEC2162"/>
    <w:rsid w:val="4B8D10B0"/>
    <w:rsid w:val="4BF56E83"/>
    <w:rsid w:val="4BF860D2"/>
    <w:rsid w:val="4CA67E9E"/>
    <w:rsid w:val="4CC716D8"/>
    <w:rsid w:val="4CCF62B7"/>
    <w:rsid w:val="4D5F6B61"/>
    <w:rsid w:val="4DCC28B2"/>
    <w:rsid w:val="4E217B70"/>
    <w:rsid w:val="4E2D6CB2"/>
    <w:rsid w:val="4E88142D"/>
    <w:rsid w:val="4E923F15"/>
    <w:rsid w:val="4EE420D5"/>
    <w:rsid w:val="4F522E2E"/>
    <w:rsid w:val="4FAA7471"/>
    <w:rsid w:val="4FBA3286"/>
    <w:rsid w:val="50013AAC"/>
    <w:rsid w:val="50630314"/>
    <w:rsid w:val="50982B3B"/>
    <w:rsid w:val="50EA7D60"/>
    <w:rsid w:val="511C310E"/>
    <w:rsid w:val="51AF5760"/>
    <w:rsid w:val="51D06234"/>
    <w:rsid w:val="51F5576D"/>
    <w:rsid w:val="52420005"/>
    <w:rsid w:val="52623BB2"/>
    <w:rsid w:val="52AA22F0"/>
    <w:rsid w:val="541D666B"/>
    <w:rsid w:val="54D57EC2"/>
    <w:rsid w:val="54DB7B4B"/>
    <w:rsid w:val="555A672D"/>
    <w:rsid w:val="55C31ED3"/>
    <w:rsid w:val="55EB4F9E"/>
    <w:rsid w:val="561539B3"/>
    <w:rsid w:val="564143CE"/>
    <w:rsid w:val="56BE35B8"/>
    <w:rsid w:val="56D01533"/>
    <w:rsid w:val="573F340A"/>
    <w:rsid w:val="575A1EE0"/>
    <w:rsid w:val="576E4811"/>
    <w:rsid w:val="579637CA"/>
    <w:rsid w:val="57A52958"/>
    <w:rsid w:val="57CE536F"/>
    <w:rsid w:val="58206725"/>
    <w:rsid w:val="58212F63"/>
    <w:rsid w:val="5879477F"/>
    <w:rsid w:val="587C1079"/>
    <w:rsid w:val="590C7B9F"/>
    <w:rsid w:val="597077CA"/>
    <w:rsid w:val="59892561"/>
    <w:rsid w:val="5ACE0B1E"/>
    <w:rsid w:val="5AE24C95"/>
    <w:rsid w:val="5AE665E1"/>
    <w:rsid w:val="5AF643CA"/>
    <w:rsid w:val="5B06069D"/>
    <w:rsid w:val="5B3919F6"/>
    <w:rsid w:val="5B892D92"/>
    <w:rsid w:val="5BC80F53"/>
    <w:rsid w:val="5BFF4012"/>
    <w:rsid w:val="5CC73780"/>
    <w:rsid w:val="5CE01471"/>
    <w:rsid w:val="5D097AC6"/>
    <w:rsid w:val="5D3F0F1A"/>
    <w:rsid w:val="5D9A56B2"/>
    <w:rsid w:val="5E7445C1"/>
    <w:rsid w:val="5F0E31ED"/>
    <w:rsid w:val="5F103C71"/>
    <w:rsid w:val="5F2A58F6"/>
    <w:rsid w:val="5F3108B2"/>
    <w:rsid w:val="5F455F5E"/>
    <w:rsid w:val="5F7D6DAA"/>
    <w:rsid w:val="6070358A"/>
    <w:rsid w:val="609969C0"/>
    <w:rsid w:val="609F47A8"/>
    <w:rsid w:val="60E46C57"/>
    <w:rsid w:val="60F504A9"/>
    <w:rsid w:val="612F7A92"/>
    <w:rsid w:val="61C479AA"/>
    <w:rsid w:val="61FA6DD9"/>
    <w:rsid w:val="62380927"/>
    <w:rsid w:val="62483D81"/>
    <w:rsid w:val="62637573"/>
    <w:rsid w:val="62735E5D"/>
    <w:rsid w:val="62787E4B"/>
    <w:rsid w:val="62D00B35"/>
    <w:rsid w:val="633E4E2B"/>
    <w:rsid w:val="637344DE"/>
    <w:rsid w:val="64752486"/>
    <w:rsid w:val="649A2D3A"/>
    <w:rsid w:val="64C06747"/>
    <w:rsid w:val="64DD28F0"/>
    <w:rsid w:val="6511569B"/>
    <w:rsid w:val="652D4B5E"/>
    <w:rsid w:val="654E43E2"/>
    <w:rsid w:val="65E30CFE"/>
    <w:rsid w:val="65E66B04"/>
    <w:rsid w:val="66D72AAA"/>
    <w:rsid w:val="66E112AD"/>
    <w:rsid w:val="674703F4"/>
    <w:rsid w:val="67FD1029"/>
    <w:rsid w:val="68256C46"/>
    <w:rsid w:val="683825F0"/>
    <w:rsid w:val="68487163"/>
    <w:rsid w:val="68734F5A"/>
    <w:rsid w:val="69004239"/>
    <w:rsid w:val="69010F0D"/>
    <w:rsid w:val="69081AA8"/>
    <w:rsid w:val="693803B6"/>
    <w:rsid w:val="696B75CD"/>
    <w:rsid w:val="699C3515"/>
    <w:rsid w:val="6A573AA2"/>
    <w:rsid w:val="6A97785E"/>
    <w:rsid w:val="6A9E7956"/>
    <w:rsid w:val="6ABD32B1"/>
    <w:rsid w:val="6AD71140"/>
    <w:rsid w:val="6B78448A"/>
    <w:rsid w:val="6BB63944"/>
    <w:rsid w:val="6C512C31"/>
    <w:rsid w:val="6CDE39F6"/>
    <w:rsid w:val="6D171A23"/>
    <w:rsid w:val="6D1E74E8"/>
    <w:rsid w:val="6D942459"/>
    <w:rsid w:val="6DA27991"/>
    <w:rsid w:val="6DA47028"/>
    <w:rsid w:val="6DED15EC"/>
    <w:rsid w:val="6E0B5533"/>
    <w:rsid w:val="6E6751E7"/>
    <w:rsid w:val="6EB41ABB"/>
    <w:rsid w:val="6EBC14D7"/>
    <w:rsid w:val="6FC742E0"/>
    <w:rsid w:val="6FDB78C1"/>
    <w:rsid w:val="70494D26"/>
    <w:rsid w:val="704C3089"/>
    <w:rsid w:val="708E1361"/>
    <w:rsid w:val="711B7E5B"/>
    <w:rsid w:val="711C1F6D"/>
    <w:rsid w:val="720D1A0A"/>
    <w:rsid w:val="72164F8C"/>
    <w:rsid w:val="72336ECD"/>
    <w:rsid w:val="72996F96"/>
    <w:rsid w:val="734642FB"/>
    <w:rsid w:val="74C51A75"/>
    <w:rsid w:val="751C4C11"/>
    <w:rsid w:val="7534544B"/>
    <w:rsid w:val="75410ECB"/>
    <w:rsid w:val="7544407E"/>
    <w:rsid w:val="767232E9"/>
    <w:rsid w:val="7677666F"/>
    <w:rsid w:val="768E0197"/>
    <w:rsid w:val="76B17170"/>
    <w:rsid w:val="76F550EB"/>
    <w:rsid w:val="770C709E"/>
    <w:rsid w:val="77784DBB"/>
    <w:rsid w:val="77802D84"/>
    <w:rsid w:val="77C41925"/>
    <w:rsid w:val="780D316F"/>
    <w:rsid w:val="787E301E"/>
    <w:rsid w:val="78FD2B7C"/>
    <w:rsid w:val="79006592"/>
    <w:rsid w:val="792D0093"/>
    <w:rsid w:val="79346822"/>
    <w:rsid w:val="7943608B"/>
    <w:rsid w:val="79A4303E"/>
    <w:rsid w:val="79B16A82"/>
    <w:rsid w:val="7A0322B3"/>
    <w:rsid w:val="7A334E9E"/>
    <w:rsid w:val="7A3C2611"/>
    <w:rsid w:val="7A7460AD"/>
    <w:rsid w:val="7A7650CE"/>
    <w:rsid w:val="7A9139BB"/>
    <w:rsid w:val="7B030BDD"/>
    <w:rsid w:val="7B211A41"/>
    <w:rsid w:val="7B534C58"/>
    <w:rsid w:val="7B6F5771"/>
    <w:rsid w:val="7B755F68"/>
    <w:rsid w:val="7BD9451E"/>
    <w:rsid w:val="7BF417D5"/>
    <w:rsid w:val="7C23273A"/>
    <w:rsid w:val="7C6E4121"/>
    <w:rsid w:val="7CC441F6"/>
    <w:rsid w:val="7D9B03DC"/>
    <w:rsid w:val="7E620C48"/>
    <w:rsid w:val="7EB07A69"/>
    <w:rsid w:val="7F115D4A"/>
    <w:rsid w:val="7F4C3E6A"/>
    <w:rsid w:val="7F7873B6"/>
    <w:rsid w:val="7FDF6B28"/>
    <w:rsid w:val="7FF4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39"/>
    <w:pPr>
      <w:ind w:left="420" w:leftChars="200"/>
    </w:pPr>
    <w:rPr>
      <w:rFonts w:ascii="Calibri" w:hAnsi="Calibri" w:eastAsia="宋体"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1"/>
    <w:basedOn w:val="9"/>
    <w:qFormat/>
    <w:uiPriority w:val="0"/>
    <w:rPr>
      <w:rFonts w:hint="eastAsia" w:ascii="宋体" w:hAnsi="宋体" w:eastAsia="宋体" w:cs="宋体"/>
      <w:color w:val="000000"/>
      <w:sz w:val="20"/>
      <w:szCs w:val="20"/>
      <w:u w:val="none"/>
    </w:rPr>
  </w:style>
  <w:style w:type="character" w:customStyle="1" w:styleId="11">
    <w:name w:val="font01"/>
    <w:basedOn w:val="9"/>
    <w:qFormat/>
    <w:uiPriority w:val="0"/>
    <w:rPr>
      <w:rFonts w:hint="default" w:ascii="Arial" w:hAnsi="Arial" w:cs="Arial"/>
      <w:color w:val="000000"/>
      <w:sz w:val="20"/>
      <w:szCs w:val="20"/>
      <w:u w:val="none"/>
    </w:rPr>
  </w:style>
  <w:style w:type="character" w:customStyle="1" w:styleId="12">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11.xml"/><Relationship Id="rId2" Type="http://schemas.openxmlformats.org/officeDocument/2006/relationships/settings" Target="settings.xml"/><Relationship Id="rId19" Type="http://schemas.openxmlformats.org/officeDocument/2006/relationships/chart" Target="charts/chart10.xml"/><Relationship Id="rId18" Type="http://schemas.openxmlformats.org/officeDocument/2006/relationships/chart" Target="charts/chart9.xml"/><Relationship Id="rId17" Type="http://schemas.openxmlformats.org/officeDocument/2006/relationships/chart" Target="charts/chart8.xml"/><Relationship Id="rId16" Type="http://schemas.openxmlformats.org/officeDocument/2006/relationships/chart" Target="charts/chart7.xml"/><Relationship Id="rId15" Type="http://schemas.openxmlformats.org/officeDocument/2006/relationships/image" Target="media/image5.jpe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chart" Target="charts/chart6.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be\Desktop\0930&#36866;&#24212;&#31038;&#20250;&#38656;&#27714;&#25253;&#21578;+&#20307;&#32844;&#38498;\2017-2019&#36866;&#24212;&#31038;&#20250;&#38656;&#27714;&#33021;&#21147;&#35780;&#20272;&#25968;&#25454;&#39640;&#32844;(1).xls"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gbe\Desktop\&#36866;&#24212;&#31038;&#20250;&#38656;&#27714;&#25253;&#21578;+&#20307;&#32844;&#38498;\&#36866;&#24212;&#31038;&#20250;&#38656;&#27714;&#33021;&#21147;&#35780;&#20272;&#25968;&#25454;&#39640;&#32844;(1).xls"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gbe\Desktop\0828&#36866;&#24212;&#31038;&#20250;&#38656;&#27714;&#25253;&#21578;+&#20307;&#32844;&#38498;\2017-2019&#36866;&#24212;&#31038;&#20250;&#38656;&#27714;&#33021;&#21147;&#35780;&#20272;&#25968;&#25454;&#39640;&#32844;(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gbe\Desktop\0930&#36866;&#24212;&#31038;&#20250;&#38656;&#27714;&#25253;&#21578;+&#20307;&#32844;&#38498;\2017-2019&#36866;&#24212;&#31038;&#20250;&#38656;&#27714;&#33021;&#21147;&#35780;&#20272;&#25968;&#25454;&#39640;&#32844;(1).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be\Desktop\&#36866;&#24212;&#31038;&#20250;&#38656;&#27714;&#25253;&#21578;+&#20307;&#32844;&#38498;\&#36866;&#24212;&#31038;&#20250;&#38656;&#27714;&#33021;&#21147;&#35780;&#20272;&#25968;&#25454;&#39640;&#32844;(1).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gbe\Desktop\&#36866;&#24212;&#31038;&#20250;&#38656;&#27714;&#25253;&#21578;+&#20307;&#32844;&#38498;\&#36866;&#24212;&#31038;&#20250;&#38656;&#27714;&#33021;&#21147;&#35780;&#20272;&#25968;&#25454;&#39640;&#32844;(1).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gbe\Desktop\&#36866;&#24212;&#31038;&#20250;&#38656;&#27714;&#25253;&#21578;+&#20307;&#32844;&#38498;\&#36866;&#24212;&#31038;&#20250;&#38656;&#27714;&#33021;&#21147;&#35780;&#20272;&#25968;&#25454;&#39640;&#32844;(1).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gbe\Desktop\0828&#36866;&#24212;&#31038;&#20250;&#38656;&#27714;&#25253;&#21578;+&#20307;&#32844;&#38498;\2017-2019&#36866;&#24212;&#31038;&#20250;&#38656;&#27714;&#33021;&#21147;&#35780;&#20272;&#25968;&#25454;&#39640;&#32844;(1).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gbe\Desktop\&#36866;&#24212;&#31038;&#20250;&#38656;&#27714;&#25253;&#21578;+&#20307;&#32844;&#38498;\&#36866;&#24212;&#31038;&#20250;&#38656;&#27714;&#33021;&#21147;&#35780;&#20272;&#25968;&#25454;&#39640;&#32844;(1).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gbe\Desktop\&#36866;&#24212;&#31038;&#20250;&#38656;&#27714;&#25253;&#21578;+&#20307;&#32844;&#38498;\&#36866;&#24212;&#31038;&#20250;&#38656;&#27714;&#33021;&#21147;&#35780;&#20272;&#25968;&#25454;&#39640;&#32844;(1).xls"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gbe\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'[2017-2019适应社会需求能力评估数据高职(1).xls]Sheet1'!$B$252:$B$254</c:f>
              <c:strCache>
                <c:ptCount val="3"/>
                <c:pt idx="0">
                  <c:v>国家财政性教育经费</c:v>
                </c:pt>
                <c:pt idx="1">
                  <c:v>事业收入</c:v>
                </c:pt>
                <c:pt idx="2">
                  <c:v>其他收入</c:v>
                </c:pt>
              </c:strCache>
            </c:strRef>
          </c:cat>
          <c:val>
            <c:numRef>
              <c:f>'[2017-2019适应社会需求能力评估数据高职(1).xls]Sheet1'!$C$252:$C$254</c:f>
              <c:numCache>
                <c:formatCode>0.00%</c:formatCode>
                <c:ptCount val="3"/>
                <c:pt idx="0">
                  <c:v>0.7468</c:v>
                </c:pt>
                <c:pt idx="1">
                  <c:v>0.2361</c:v>
                </c:pt>
                <c:pt idx="2">
                  <c:v>0.0171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'[适应社会需求能力评估数据高职(1).xls]Sheet1'!$B$194</c:f>
              <c:strCache>
                <c:ptCount val="1"/>
                <c:pt idx="0">
                  <c:v>升学率</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'[适应社会需求能力评估数据高职(1).xls]Sheet1'!$C$193:$E$193</c:f>
              <c:numCache>
                <c:formatCode>0_);[Red]\(0\)</c:formatCode>
                <c:ptCount val="3"/>
                <c:pt idx="0" c:formatCode="0_);[Red]\(0\)">
                  <c:v>2017</c:v>
                </c:pt>
                <c:pt idx="1" c:formatCode="0_);[Red]\(0\)">
                  <c:v>2018</c:v>
                </c:pt>
                <c:pt idx="2" c:formatCode="0_);[Red]\(0\)">
                  <c:v>2019</c:v>
                </c:pt>
              </c:numCache>
            </c:numRef>
          </c:cat>
          <c:val>
            <c:numRef>
              <c:f>'[适应社会需求能力评估数据高职(1).xls]Sheet1'!$C$194:$E$194</c:f>
              <c:numCache>
                <c:formatCode>0.00%</c:formatCode>
                <c:ptCount val="3"/>
                <c:pt idx="0">
                  <c:v>0.209</c:v>
                </c:pt>
                <c:pt idx="1">
                  <c:v>0.4282</c:v>
                </c:pt>
                <c:pt idx="2">
                  <c:v>0.4674</c:v>
                </c:pt>
              </c:numCache>
            </c:numRef>
          </c:val>
          <c:smooth val="0"/>
        </c:ser>
        <c:ser>
          <c:idx val="1"/>
          <c:order val="1"/>
          <c:tx>
            <c:strRef>
              <c:f>'[适应社会需求能力评估数据高职(1).xls]Sheet1'!$B$195</c:f>
              <c:strCache>
                <c:ptCount val="1"/>
                <c:pt idx="0">
                  <c:v>就业率</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'[适应社会需求能力评估数据高职(1).xls]Sheet1'!$C$193:$E$193</c:f>
              <c:numCache>
                <c:formatCode>0_);[Red]\(0\)</c:formatCode>
                <c:ptCount val="3"/>
                <c:pt idx="0" c:formatCode="0_);[Red]\(0\)">
                  <c:v>2017</c:v>
                </c:pt>
                <c:pt idx="1" c:formatCode="0_);[Red]\(0\)">
                  <c:v>2018</c:v>
                </c:pt>
                <c:pt idx="2" c:formatCode="0_);[Red]\(0\)">
                  <c:v>2019</c:v>
                </c:pt>
              </c:numCache>
            </c:numRef>
          </c:cat>
          <c:val>
            <c:numRef>
              <c:f>'[适应社会需求能力评估数据高职(1).xls]Sheet1'!$C$195:$E$195</c:f>
              <c:numCache>
                <c:formatCode>0.00%</c:formatCode>
                <c:ptCount val="3"/>
                <c:pt idx="0">
                  <c:v>0.9739</c:v>
                </c:pt>
                <c:pt idx="1">
                  <c:v>0.9813</c:v>
                </c:pt>
                <c:pt idx="2">
                  <c:v>0.5326</c:v>
                </c:pt>
              </c:numCache>
            </c:numRef>
          </c:val>
          <c:smooth val="0"/>
        </c:ser>
        <c:dLbls>
          <c:showLegendKey val="0"/>
          <c:showVal val="1"/>
          <c:showCatName val="0"/>
          <c:showSerName val="0"/>
          <c:showPercent val="0"/>
          <c:showBubbleSize val="0"/>
        </c:dLbls>
        <c:marker val="0"/>
        <c:smooth val="0"/>
        <c:axId val="932224677"/>
        <c:axId val="497631091"/>
      </c:lineChart>
      <c:catAx>
        <c:axId val="9322246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7631091"/>
        <c:crosses val="autoZero"/>
        <c:auto val="1"/>
        <c:lblAlgn val="ctr"/>
        <c:lblOffset val="100"/>
        <c:noMultiLvlLbl val="0"/>
      </c:catAx>
      <c:valAx>
        <c:axId val="49763109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222467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11666666666667"/>
          <c:y val="0.0520833333333333"/>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'[2017-2019适应社会需求能力评估数据高职(1).xls]Sheet2'!$B$2</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layout>
                <c:manualLayout>
                  <c:x val="-0.189377696928866"/>
                  <c:y val="0.1296035618453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12714712025871"/>
                  <c:y val="0.069649909498901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561053877780835"/>
                  <c:y val="-0.008608311187631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441568386829147"/>
                  <c:y val="-0.0021675830836304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'[2017-2019适应社会需求能力评估数据高职(1).xls]Sheet2'!$A$3:$A$7</c:f>
              <c:strCache>
                <c:ptCount val="5"/>
                <c:pt idx="0">
                  <c:v>扶贫专项</c:v>
                </c:pt>
                <c:pt idx="1">
                  <c:v>社会人员培训</c:v>
                </c:pt>
                <c:pt idx="2">
                  <c:v>社区服务</c:v>
                </c:pt>
                <c:pt idx="3">
                  <c:v>技术交易</c:v>
                </c:pt>
                <c:pt idx="4">
                  <c:v>其他服务</c:v>
                </c:pt>
              </c:strCache>
            </c:strRef>
          </c:cat>
          <c:val>
            <c:numRef>
              <c:f>'[2017-2019适应社会需求能力评估数据高职(1).xls]Sheet2'!$B$3:$B$7</c:f>
              <c:numCache>
                <c:formatCode>General</c:formatCode>
                <c:ptCount val="5"/>
                <c:pt idx="0">
                  <c:v>3083.7</c:v>
                </c:pt>
                <c:pt idx="1">
                  <c:v>96.72</c:v>
                </c:pt>
                <c:pt idx="2">
                  <c:v>33.7</c:v>
                </c:pt>
                <c:pt idx="3">
                  <c:v>12.3</c:v>
                </c:pt>
                <c:pt idx="4">
                  <c:v>113.71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'[2017-2019适应社会需求能力评估数据高职(1).xls]Sheet1'!$B$265:$B$267</c:f>
              <c:strCache>
                <c:ptCount val="3"/>
                <c:pt idx="0">
                  <c:v>一般公共预算安排的教育经费</c:v>
                </c:pt>
                <c:pt idx="1">
                  <c:v>政府性基金预算安排的教育经费</c:v>
                </c:pt>
                <c:pt idx="2">
                  <c:v>校办产业和社会服务收入用于教育的经费</c:v>
                </c:pt>
              </c:strCache>
            </c:strRef>
          </c:cat>
          <c:val>
            <c:numRef>
              <c:f>'[2017-2019适应社会需求能力评估数据高职(1).xls]Sheet1'!$C$265:$C$267</c:f>
              <c:numCache>
                <c:formatCode>0.00%</c:formatCode>
                <c:ptCount val="3"/>
                <c:pt idx="0">
                  <c:v>0.9062</c:v>
                </c:pt>
                <c:pt idx="1">
                  <c:v>0.0736</c:v>
                </c:pt>
                <c:pt idx="2">
                  <c:v>0.0201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'[适应社会需求能力评估数据高职(1).xls]Sheet1'!$C$92</c:f>
              <c:strCache>
                <c:ptCount val="1"/>
                <c:pt idx="0">
                  <c:v>在校生</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'[适应社会需求能力评估数据高职(1).xls]Sheet1'!$B$93:$B$102</c:f>
              <c:strCache>
                <c:ptCount val="10"/>
                <c:pt idx="0">
                  <c:v>67教育与体育大类</c:v>
                </c:pt>
                <c:pt idx="1">
                  <c:v>62医药卫生大类</c:v>
                </c:pt>
                <c:pt idx="2">
                  <c:v>61电子信息大类</c:v>
                </c:pt>
                <c:pt idx="3">
                  <c:v>64旅游大类</c:v>
                </c:pt>
                <c:pt idx="4">
                  <c:v>66新闻传播大类</c:v>
                </c:pt>
                <c:pt idx="5">
                  <c:v>63财经商贸大类</c:v>
                </c:pt>
                <c:pt idx="6">
                  <c:v>51农林牧渔大类</c:v>
                </c:pt>
                <c:pt idx="7">
                  <c:v>65文化艺术大类</c:v>
                </c:pt>
              </c:strCache>
            </c:strRef>
          </c:cat>
          <c:val>
            <c:numRef>
              <c:f>'[适应社会需求能力评估数据高职(1).xls]Sheet1'!$C$93:$C$102</c:f>
              <c:numCache>
                <c:formatCode>General</c:formatCode>
                <c:ptCount val="10"/>
                <c:pt idx="0">
                  <c:v>3235</c:v>
                </c:pt>
                <c:pt idx="1">
                  <c:v>488</c:v>
                </c:pt>
                <c:pt idx="2">
                  <c:v>230</c:v>
                </c:pt>
                <c:pt idx="3">
                  <c:v>213</c:v>
                </c:pt>
                <c:pt idx="4">
                  <c:v>162</c:v>
                </c:pt>
                <c:pt idx="5">
                  <c:v>162</c:v>
                </c:pt>
                <c:pt idx="6">
                  <c:v>59</c:v>
                </c:pt>
                <c:pt idx="7">
                  <c:v>21</c:v>
                </c:pt>
              </c:numCache>
            </c:numRef>
          </c:val>
        </c:ser>
        <c:dLbls>
          <c:showLegendKey val="0"/>
          <c:showVal val="1"/>
          <c:showCatName val="0"/>
          <c:showSerName val="0"/>
          <c:showPercent val="0"/>
          <c:showBubbleSize val="0"/>
        </c:dLbls>
        <c:gapWidth val="219"/>
        <c:overlap val="-27"/>
        <c:axId val="41576767"/>
        <c:axId val="994090264"/>
      </c:barChart>
      <c:catAx>
        <c:axId val="415767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4090264"/>
        <c:crosses val="autoZero"/>
        <c:auto val="1"/>
        <c:lblAlgn val="ctr"/>
        <c:lblOffset val="100"/>
        <c:noMultiLvlLbl val="0"/>
      </c:catAx>
      <c:valAx>
        <c:axId val="994090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767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'[适应社会需求能力评估数据高职(1).xls]Sheet1'!$B$114:$B$115</c:f>
              <c:strCache>
                <c:ptCount val="2"/>
                <c:pt idx="0">
                  <c:v>涉体专业</c:v>
                </c:pt>
                <c:pt idx="1">
                  <c:v>非涉体专业</c:v>
                </c:pt>
              </c:strCache>
            </c:strRef>
          </c:cat>
          <c:val>
            <c:numRef>
              <c:f>'[适应社会需求能力评估数据高职(1).xls]Sheet1'!$C$114:$C$115</c:f>
              <c:numCache>
                <c:formatCode>0.00%</c:formatCode>
                <c:ptCount val="2"/>
                <c:pt idx="0">
                  <c:v>0.5556</c:v>
                </c:pt>
                <c:pt idx="1">
                  <c:v>0.4444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'[适应社会需求能力评估数据高职(1).xls]Sheet1'!$B$114:$B$115</c:f>
              <c:strCache>
                <c:ptCount val="2"/>
                <c:pt idx="0">
                  <c:v>涉体学生数</c:v>
                </c:pt>
                <c:pt idx="1">
                  <c:v>非涉体学生数</c:v>
                </c:pt>
              </c:strCache>
            </c:strRef>
          </c:cat>
          <c:val>
            <c:numRef>
              <c:f>'[适应社会需求能力评估数据高职(1).xls]Sheet1'!$C$114:$C$115</c:f>
              <c:numCache>
                <c:formatCode>0.00%</c:formatCode>
                <c:ptCount val="2"/>
                <c:pt idx="0">
                  <c:v>0.7079</c:v>
                </c:pt>
                <c:pt idx="1">
                  <c:v>0.2921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'[2017-2019适应社会需求能力评估数据高职(1).xls]Sheet1'!$D$225</c:f>
              <c:strCache>
                <c:ptCount val="1"/>
                <c:pt idx="0">
                  <c:v>在校生</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'[2017-2019适应社会需求能力评估数据高职(1).xls]Sheet1'!$C$226:$C$232</c:f>
              <c:strCache>
                <c:ptCount val="7"/>
                <c:pt idx="0">
                  <c:v>运动训练</c:v>
                </c:pt>
                <c:pt idx="1">
                  <c:v>康复治疗技术</c:v>
                </c:pt>
                <c:pt idx="2">
                  <c:v>电子信息工程技术</c:v>
                </c:pt>
                <c:pt idx="3">
                  <c:v>新闻采编与制作</c:v>
                </c:pt>
                <c:pt idx="4">
                  <c:v>旅游管理</c:v>
                </c:pt>
                <c:pt idx="5">
                  <c:v>社会体育</c:v>
                </c:pt>
                <c:pt idx="6">
                  <c:v>体育保健与康复</c:v>
                </c:pt>
              </c:strCache>
            </c:strRef>
          </c:cat>
          <c:val>
            <c:numRef>
              <c:f>'[2017-2019适应社会需求能力评估数据高职(1).xls]Sheet1'!$D$226:$D$232</c:f>
              <c:numCache>
                <c:formatCode>General</c:formatCode>
                <c:ptCount val="7"/>
                <c:pt idx="0">
                  <c:v>1064</c:v>
                </c:pt>
                <c:pt idx="1">
                  <c:v>488</c:v>
                </c:pt>
                <c:pt idx="2">
                  <c:v>220</c:v>
                </c:pt>
                <c:pt idx="3">
                  <c:v>162</c:v>
                </c:pt>
                <c:pt idx="4">
                  <c:v>158</c:v>
                </c:pt>
                <c:pt idx="5">
                  <c:v>132</c:v>
                </c:pt>
                <c:pt idx="6">
                  <c:v>116</c:v>
                </c:pt>
              </c:numCache>
            </c:numRef>
          </c:val>
        </c:ser>
        <c:dLbls>
          <c:showLegendKey val="0"/>
          <c:showVal val="1"/>
          <c:showCatName val="0"/>
          <c:showSerName val="0"/>
          <c:showPercent val="0"/>
          <c:showBubbleSize val="0"/>
        </c:dLbls>
        <c:gapWidth val="75"/>
        <c:overlap val="0"/>
        <c:axId val="781257846"/>
        <c:axId val="678620992"/>
      </c:barChart>
      <c:catAx>
        <c:axId val="781257846"/>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8620992"/>
        <c:crosses val="autoZero"/>
        <c:auto val="1"/>
        <c:lblAlgn val="ctr"/>
        <c:lblOffset val="100"/>
        <c:noMultiLvlLbl val="0"/>
      </c:catAx>
      <c:valAx>
        <c:axId val="678620992"/>
        <c:scaling>
          <c:orientation val="minMax"/>
        </c:scaling>
        <c:delete val="0"/>
        <c:axPos val="b"/>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125784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'[适应社会需求能力评估数据高职(1).xls]Sheet1'!$B$171</c:f>
              <c:strCache>
                <c:ptCount val="1"/>
                <c:pt idx="0">
                  <c:v>职业技能等级证书及职业资格证书获得数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'[适应社会需求能力评估数据高职(1).xls]Sheet1'!$C$170:$E$170</c:f>
              <c:strCache>
                <c:ptCount val="3"/>
                <c:pt idx="0" c:formatCode="0_);[Red]\(0\)">
                  <c:v>2017年</c:v>
                </c:pt>
                <c:pt idx="1" c:formatCode="0_);[Red]\(0\)">
                  <c:v>2018年</c:v>
                </c:pt>
                <c:pt idx="2" c:formatCode="0_);[Red]\(0\)">
                  <c:v>2019年</c:v>
                </c:pt>
              </c:strCache>
            </c:strRef>
          </c:cat>
          <c:val>
            <c:numRef>
              <c:f>'[适应社会需求能力评估数据高职(1).xls]Sheet1'!$C$171:$E$171</c:f>
              <c:numCache>
                <c:formatCode>General</c:formatCode>
                <c:ptCount val="3"/>
                <c:pt idx="0">
                  <c:v>33</c:v>
                </c:pt>
                <c:pt idx="1">
                  <c:v>275</c:v>
                </c:pt>
                <c:pt idx="2">
                  <c:v>318</c:v>
                </c:pt>
              </c:numCache>
            </c:numRef>
          </c:val>
        </c:ser>
        <c:ser>
          <c:idx val="1"/>
          <c:order val="1"/>
          <c:tx>
            <c:strRef>
              <c:f>'[适应社会需求能力评估数据高职(1).xls]Sheet1'!$B$172</c:f>
              <c:strCache>
                <c:ptCount val="1"/>
                <c:pt idx="0">
                  <c:v>社会认可度高的其他证书获得数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'[适应社会需求能力评估数据高职(1).xls]Sheet1'!$C$170:$E$170</c:f>
              <c:strCache>
                <c:ptCount val="3"/>
                <c:pt idx="0" c:formatCode="0_);[Red]\(0\)">
                  <c:v>2017年</c:v>
                </c:pt>
                <c:pt idx="1" c:formatCode="0_);[Red]\(0\)">
                  <c:v>2018年</c:v>
                </c:pt>
                <c:pt idx="2" c:formatCode="0_);[Red]\(0\)">
                  <c:v>2019年</c:v>
                </c:pt>
              </c:strCache>
            </c:strRef>
          </c:cat>
          <c:val>
            <c:numRef>
              <c:f>'[适应社会需求能力评估数据高职(1).xls]Sheet1'!$C$172:$E$172</c:f>
              <c:numCache>
                <c:formatCode>General</c:formatCode>
                <c:ptCount val="3"/>
                <c:pt idx="0">
                  <c:v>64</c:v>
                </c:pt>
                <c:pt idx="1">
                  <c:v>105</c:v>
                </c:pt>
                <c:pt idx="2">
                  <c:v>160</c:v>
                </c:pt>
              </c:numCache>
            </c:numRef>
          </c:val>
        </c:ser>
        <c:dLbls>
          <c:showLegendKey val="0"/>
          <c:showVal val="1"/>
          <c:showCatName val="0"/>
          <c:showSerName val="0"/>
          <c:showPercent val="0"/>
          <c:showBubbleSize val="0"/>
        </c:dLbls>
        <c:gapWidth val="219"/>
        <c:overlap val="-27"/>
        <c:axId val="243473422"/>
        <c:axId val="692760538"/>
      </c:barChart>
      <c:catAx>
        <c:axId val="2434734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760538"/>
        <c:crosses val="autoZero"/>
        <c:auto val="1"/>
        <c:lblAlgn val="ctr"/>
        <c:lblOffset val="100"/>
        <c:noMultiLvlLbl val="0"/>
      </c:catAx>
      <c:valAx>
        <c:axId val="6927605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47342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'[适应社会需求能力评估数据高职(1).xls]Sheet1'!$B$174</c:f>
              <c:strCache>
                <c:ptCount val="1"/>
                <c:pt idx="0">
                  <c:v>职业技能等级证书及职业资格证书获取率</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'[适应社会需求能力评估数据高职(1).xls]Sheet1'!$C$173:$E$173</c:f>
              <c:strCache>
                <c:ptCount val="3"/>
                <c:pt idx="0" c:formatCode="0_);[Red]\(0\)">
                  <c:v>2017年</c:v>
                </c:pt>
                <c:pt idx="1" c:formatCode="0_);[Red]\(0\)">
                  <c:v>2018年</c:v>
                </c:pt>
                <c:pt idx="2" c:formatCode="0_);[Red]\(0\)">
                  <c:v>2019年</c:v>
                </c:pt>
              </c:strCache>
            </c:strRef>
          </c:cat>
          <c:val>
            <c:numRef>
              <c:f>'[适应社会需求能力评估数据高职(1).xls]Sheet1'!$C$174:$E$174</c:f>
              <c:numCache>
                <c:formatCode>0.00%</c:formatCode>
                <c:ptCount val="3"/>
                <c:pt idx="0">
                  <c:v>0.0479</c:v>
                </c:pt>
                <c:pt idx="1">
                  <c:v>0.3433</c:v>
                </c:pt>
                <c:pt idx="2">
                  <c:v>0.3634</c:v>
                </c:pt>
              </c:numCache>
            </c:numRef>
          </c:val>
          <c:smooth val="0"/>
        </c:ser>
        <c:dLbls>
          <c:showLegendKey val="0"/>
          <c:showVal val="1"/>
          <c:showCatName val="0"/>
          <c:showSerName val="0"/>
          <c:showPercent val="0"/>
          <c:showBubbleSize val="0"/>
        </c:dLbls>
        <c:marker val="0"/>
        <c:smooth val="0"/>
        <c:axId val="663964329"/>
        <c:axId val="447689323"/>
      </c:lineChart>
      <c:catAx>
        <c:axId val="6639643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7689323"/>
        <c:crosses val="autoZero"/>
        <c:auto val="1"/>
        <c:lblAlgn val="ctr"/>
        <c:lblOffset val="100"/>
        <c:noMultiLvlLbl val="0"/>
      </c:catAx>
      <c:valAx>
        <c:axId val="44768932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39643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 工作表.xls]Sheet1'!$B$1</c:f>
              <c:strCache>
                <c:ptCount val="1"/>
                <c:pt idx="0">
                  <c:v>职业技能等级证书及职业资格证书获得数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工作表.xls]Sheet1'!$A$2:$A$14</c:f>
              <c:strCache>
                <c:ptCount val="13"/>
                <c:pt idx="0">
                  <c:v>康复治疗技术</c:v>
                </c:pt>
                <c:pt idx="1">
                  <c:v>体育教育</c:v>
                </c:pt>
                <c:pt idx="2">
                  <c:v>运动训练</c:v>
                </c:pt>
                <c:pt idx="3">
                  <c:v>经济信息管理</c:v>
                </c:pt>
                <c:pt idx="4">
                  <c:v>健身指导与管理</c:v>
                </c:pt>
                <c:pt idx="5">
                  <c:v>电子信息工程技术</c:v>
                </c:pt>
                <c:pt idx="6">
                  <c:v>新闻采编与制作</c:v>
                </c:pt>
                <c:pt idx="7">
                  <c:v>旅游管理</c:v>
                </c:pt>
                <c:pt idx="8">
                  <c:v>社会体育</c:v>
                </c:pt>
                <c:pt idx="9">
                  <c:v>休闲体育</c:v>
                </c:pt>
                <c:pt idx="10">
                  <c:v>体育运营与管理</c:v>
                </c:pt>
                <c:pt idx="11">
                  <c:v>体育保健与康复</c:v>
                </c:pt>
                <c:pt idx="12">
                  <c:v>舞蹈表演</c:v>
                </c:pt>
              </c:strCache>
            </c:strRef>
          </c:cat>
          <c:val>
            <c:numRef>
              <c:f>'[新建 XLS 工作表.xls]Sheet1'!$B$2:$B$14</c:f>
              <c:numCache>
                <c:formatCode>General</c:formatCode>
                <c:ptCount val="13"/>
                <c:pt idx="0">
                  <c:v>123</c:v>
                </c:pt>
                <c:pt idx="1">
                  <c:v>110</c:v>
                </c:pt>
                <c:pt idx="2">
                  <c:v>35</c:v>
                </c:pt>
                <c:pt idx="3">
                  <c:v>20</c:v>
                </c:pt>
                <c:pt idx="4">
                  <c:v>19</c:v>
                </c:pt>
                <c:pt idx="5">
                  <c:v>15</c:v>
                </c:pt>
                <c:pt idx="6">
                  <c:v>5</c:v>
                </c:pt>
                <c:pt idx="7">
                  <c:v>4</c:v>
                </c:pt>
                <c:pt idx="8">
                  <c:v>3</c:v>
                </c:pt>
                <c:pt idx="9">
                  <c:v>3</c:v>
                </c:pt>
                <c:pt idx="10">
                  <c:v>3</c:v>
                </c:pt>
                <c:pt idx="11">
                  <c:v>1</c:v>
                </c:pt>
                <c:pt idx="12">
                  <c:v>1</c:v>
                </c:pt>
              </c:numCache>
            </c:numRef>
          </c:val>
        </c:ser>
        <c:dLbls>
          <c:showLegendKey val="0"/>
          <c:showVal val="1"/>
          <c:showCatName val="0"/>
          <c:showSerName val="0"/>
          <c:showPercent val="0"/>
          <c:showBubbleSize val="0"/>
        </c:dLbls>
        <c:gapWidth val="219"/>
        <c:overlap val="-27"/>
        <c:axId val="669197751"/>
        <c:axId val="686061112"/>
      </c:barChart>
      <c:catAx>
        <c:axId val="6691977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6061112"/>
        <c:crosses val="autoZero"/>
        <c:auto val="1"/>
        <c:lblAlgn val="ctr"/>
        <c:lblOffset val="100"/>
        <c:noMultiLvlLbl val="0"/>
      </c:catAx>
      <c:valAx>
        <c:axId val="686061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9197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2020-09-11T02:13:00Z</dcterms:created>
  <dc:creator>gbe</dc:creator>
  <cp:lastModifiedBy>kami</cp:lastModifiedBy>
  <cp:lastPrinted>2020-10-14T07:14:00Z</cp:lastPrinted>
  <dcterms:modified xsi:type="dcterms:W3CDTF">2020-11-02T03:12:00Z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